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5 </w:t>
      </w:r>
      <w:r w:rsidRPr="00B46736">
        <w:rPr>
          <w:rFonts w:ascii="Times New Roman" w:hAnsi="Times New Roman" w:cs="Times New Roman"/>
          <w:b/>
          <w:sz w:val="24"/>
          <w:szCs w:val="24"/>
        </w:rPr>
        <w:t>Габариты на железных дорогах. Основные руководящие документы по обеспечению четкой работы железных дорог и безопасности движения</w:t>
      </w:r>
    </w:p>
    <w:p w:rsidR="00093CE3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Для  нормального обеспечения перевозок на железнодорожном транспорте кроме подвижного состава и пути имеются многочисленные сооружения и устройства, которые расположены вдоль пути и над ним.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К ним относятся пассажирские платформы, здания, опоры контактной сети, сигнальные и путевые знаки, приводы электрической централизации стрелок, путепроводы, мосты, провода связи и электроснабжения. Для обеспечения безопасности движения поездов требуется, чтобы локомотивы и вагоны, а также грузы на открытом подвижном составе могли свободно проходить не только мимо устройств и сооружений, но и мимо следующего по соседним путям подвижного состава, не задевая их. Эти требования обеспечиваются соблюдением установленных Государственным стандартом габаритов приближения строений и габаритов подвижного состава.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 xml:space="preserve">Габаритом приближения строений </w:t>
      </w:r>
      <w:r w:rsidRPr="00B46736">
        <w:rPr>
          <w:rFonts w:ascii="Times New Roman" w:hAnsi="Times New Roman" w:cs="Times New Roman"/>
          <w:sz w:val="24"/>
          <w:szCs w:val="24"/>
        </w:rPr>
        <w:t>называется предельное поперечное, перпендикулярное  оси пути очертание, внутрь которого не должны заходить никакие части сооружений и устройств, а также лежащие около пути материалы и оборудование, за исключением тех устройств, которые непосредственно взаимодействуют с подвижным составом: вагонные замедлители, контактный провод, подвижной состав.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5243629"/>
            <wp:effectExtent l="19050" t="0" r="0" b="0"/>
            <wp:docPr id="3" name="Рисунок 1" descr="габарит приближения стро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барит приближения строен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4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 xml:space="preserve">Габаритом подвижного состава </w:t>
      </w:r>
      <w:r w:rsidRPr="00B46736">
        <w:rPr>
          <w:rFonts w:ascii="Times New Roman" w:hAnsi="Times New Roman" w:cs="Times New Roman"/>
          <w:sz w:val="24"/>
          <w:szCs w:val="24"/>
        </w:rPr>
        <w:t>называются  предельные поперечные, перпендикулярные оси пути очертания, в которых, не выходя наружу, должен помещаться как груженый, так и порожний подвижной состав, установленный напрямом горизонтальном участке пути.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Государственным стандартом (ГОСТ 9238-83) установлены габариты приближения строений двух видов: С и Сп. Габарит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распространяется на пути. Сооружения и устройства общей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сети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железных дорог и на подъездные пути от станции примыкания до территории промышленных предприятий. Габарит Сп распространяется на пути, сооружения и устройства, находящиеся на территориях промышленных, транспортных предприятий, а также промышленных железнодорожных станций. Габарит Сп отличается от габарита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меньшими вертикальными размерами.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Размеры габаритов приближения строений отсчитываются: горизонтальные – от оси пути; вертикальные – от уровня верха головки рельса (в кривых от внутреннего  рельса).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Ширина габарита приближения строений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составляет 4900 мм.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Расстояние от оси пути до линии приближения строений установлено 3100 мм. Не допускается укладывать фундаменты, трубопроводы, кабели и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не относящиеся к </w:t>
      </w:r>
      <w:r w:rsidRPr="00B46736">
        <w:rPr>
          <w:rFonts w:ascii="Times New Roman" w:hAnsi="Times New Roman" w:cs="Times New Roman"/>
          <w:sz w:val="24"/>
          <w:szCs w:val="24"/>
        </w:rPr>
        <w:lastRenderedPageBreak/>
        <w:t>пути сооружения в пределах 1000мм от уровня головки рельсов по вертикали и на расстоянии 2900 мм от оси пути по горизонтали.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Для проверки соблюдения габарита приближения строений применяется устанавливаемая на платформе специальная габаритная рама, представляющая собой деревянную конструкцию, внешний контур которой соответствует очертанию габарита С. Свободный проход рамы около сооружений и устройств свидетельствует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соблюдению габарита С.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Pr="00B46736">
        <w:rPr>
          <w:rFonts w:ascii="Times New Roman" w:hAnsi="Times New Roman" w:cs="Times New Roman"/>
          <w:b/>
          <w:sz w:val="24"/>
          <w:szCs w:val="24"/>
        </w:rPr>
        <w:t>габариты подвижного состава</w:t>
      </w:r>
      <w:r w:rsidRPr="00B46736">
        <w:rPr>
          <w:rFonts w:ascii="Times New Roman" w:hAnsi="Times New Roman" w:cs="Times New Roman"/>
          <w:sz w:val="24"/>
          <w:szCs w:val="24"/>
        </w:rPr>
        <w:t xml:space="preserve"> 1-Т и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и габариты 1-ВМ, 0-ВМ, 02-ВМ и 03-ВМ, назначением и размерами, указанными в таблице.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Габариты подвижного состава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19"/>
        <w:gridCol w:w="1541"/>
        <w:gridCol w:w="1701"/>
        <w:gridCol w:w="5210"/>
      </w:tblGrid>
      <w:tr w:rsidR="00093CE3" w:rsidRPr="00B46736" w:rsidTr="00C622C3">
        <w:tc>
          <w:tcPr>
            <w:tcW w:w="1119" w:type="dxa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Габарит </w:t>
            </w:r>
          </w:p>
        </w:tc>
        <w:tc>
          <w:tcPr>
            <w:tcW w:w="1541" w:type="dxa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Высота, </w:t>
            </w:r>
            <w:proofErr w:type="gramStart"/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701" w:type="dxa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Ширина, </w:t>
            </w:r>
            <w:proofErr w:type="gramStart"/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5210" w:type="dxa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1-Т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5210" w:type="dxa"/>
            <w:vMerge w:val="restart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Для сети железных дорог России, стран СНГ, Балтии, Монголии</w:t>
            </w: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5210" w:type="dxa"/>
            <w:vMerge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1-ВМ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5210" w:type="dxa"/>
            <w:vMerge w:val="restart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Для железных дорог России, СНГ и европейских стран</w:t>
            </w: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0-ВМ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5210" w:type="dxa"/>
            <w:vMerge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02-ВМ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5210" w:type="dxa"/>
            <w:vMerge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CE3" w:rsidRPr="00B46736" w:rsidTr="00C622C3">
        <w:tc>
          <w:tcPr>
            <w:tcW w:w="1119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03-ВМ</w:t>
            </w:r>
          </w:p>
        </w:tc>
        <w:tc>
          <w:tcPr>
            <w:tcW w:w="154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4280</w:t>
            </w:r>
          </w:p>
        </w:tc>
        <w:tc>
          <w:tcPr>
            <w:tcW w:w="1701" w:type="dxa"/>
            <w:vAlign w:val="center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5210" w:type="dxa"/>
          </w:tcPr>
          <w:p w:rsidR="00093CE3" w:rsidRPr="00B46736" w:rsidRDefault="00093CE3" w:rsidP="00C622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6">
              <w:rPr>
                <w:rFonts w:ascii="Times New Roman" w:hAnsi="Times New Roman" w:cs="Times New Roman"/>
                <w:sz w:val="24"/>
                <w:szCs w:val="24"/>
              </w:rPr>
              <w:t>Для железных дорог России, европейских и азиатских стран</w:t>
            </w:r>
          </w:p>
        </w:tc>
      </w:tr>
    </w:tbl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Расстояния между осями смежных путей определяются условиями обеспечения безопасности движения поездов, личной безопасности людей, находящихся на междупутьях. Согласно ПТЭ расстояния между осями путей на прямых участках должны быть не менее: на перегонах двухпутных линий – 4100 мм; на трехпутных и четырехпутных линиях между осями второго и третьего путей – 5000мм; на станциях между осями смежных путей – 4800 мм; на второстепенных и грузовых районов -4500 мм.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Расстояние между осями второго и третьего путей 5000 мм позволяет оставить в междупутье инвентарь и инструмент для ремонта пути при следовании поездов по второму и третьему путям.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Расстояние между осями путей, предназначенных для непосредственной перегрузки грузов из вагонов в вагон, может быть допущено 3600 мм.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габарита погрузки.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Железные дороги принимают к перевозке и негабаритные грузы, которые, будучи погруженными на открытый подвижной состав, выходят за пределы габарита погрузки.</w:t>
      </w:r>
    </w:p>
    <w:p w:rsidR="00093CE3" w:rsidRPr="00B46736" w:rsidRDefault="00093CE3" w:rsidP="00093C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2895526"/>
            <wp:effectExtent l="19050" t="0" r="0" b="0"/>
            <wp:docPr id="2" name="Рисунок 4" descr="габариты приближения строений и подвижного сост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бариты приближения строений и подвижного соста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3" w:rsidRPr="00B46736" w:rsidRDefault="00093CE3" w:rsidP="00093C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 xml:space="preserve">Габаритом погрузки </w:t>
      </w:r>
      <w:r w:rsidRPr="00B46736">
        <w:rPr>
          <w:rFonts w:ascii="Times New Roman" w:hAnsi="Times New Roman" w:cs="Times New Roman"/>
          <w:sz w:val="24"/>
          <w:szCs w:val="24"/>
        </w:rPr>
        <w:t>называется предельное поперечное  перпендикулярное оси пути очертание, в котором, не выходя наружу, должен размещаться груз на открытом подвижном составе при нахождении его на прямом горизонтальном пути.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Негабаритные грузы могут быть перевезены при соблюдении специальных условий предосторожности. Для проверки габаритности грузов, погруженных на открытый подвижной состав, их пропускают через габаритные ворота, устанавливаемые в местах массовой погрузки. Габаритные ворота представляют собой раму, внутри которой по очертанию габарита погрузки шарнирно укреплены планки. Если открытый подвижной состав с грузом пройдет ворота, не зацепляя планок, то габарит не нарушен. Изменение положения планки укажет место негабаритности.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В зависимости от высоты, на которую груз выходит за габарит погрузки, установлены зоны нижней, боковой и верхней негабаритности. Кроме того на двухпутных линиях введена зона совместной боковой и верхней негабаритности.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Pr="00CF4E57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15533" cy="5098648"/>
            <wp:effectExtent l="19050" t="0" r="0" b="0"/>
            <wp:docPr id="7" name="Рисунок 7" descr="зоны негабаритности гру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ны негабаритности груз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3" w:rsidRDefault="00093CE3" w:rsidP="00093C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>Основные руководящие документы по обеспечению четкой работы железных дорог и безопасности движения</w:t>
      </w:r>
    </w:p>
    <w:p w:rsidR="00093CE3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Правовые, организационные и экономические условия функционирования железнодорожного транспорта определяются Федеральным законом « О железнодорожном транспорте в Российской Федерации».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В нем сформулированы основные принципы функционирования железнодорожного транспорта: устойчивость работы, доступность, безопасность и качество оказываемых услуг; развитие конкуренции, согласованность единой транспортной системы РФ.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Отношения, возникающие между перевозчиками, пассажирами, отправителями и получателями грузов, владельцами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инфраструктур ж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>.д. транспорта регулирует Федеральный закон « Устав железнодорожного транспорта Российской Федерации», который устанавливает их права, обязанности и ответственность. Устав определяет основные условия организации и осуществления перевозок пассажиров, грузов, багажа, грузобагажа, оказания услуг по использованию инфраструктуры ж.д. транспорта общего пользования и иных связанных с перевозками услуг.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lastRenderedPageBreak/>
        <w:t>Слаженность взаимодействия всех подразделений ж.д. транспорта обеспечивается соблюдением графика движения поездов. График движения объединяет деятельность всех подразделений железных дорог и выражает план их эксплуатационной работы. Движение поездов по графику обеспечивается правильной организацией и выполнением технологического процесса работы станций, депо, тяговых подстанций, ПТО и других подразделений железных дорог, связанных с движением поездов.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Правила технической эксплуатации (ПТЭ) железных дорог устанавливают: основные положения и порядок работы железных дорог и работников железнодорожного транспорта, основные размеры, нормы содержания важнейших сооружений, устройств и подвижного состава и требования, предъявляемые к ним, систему организации движения поездов и принципы сигнализации. ПТЭ </w:t>
      </w:r>
      <w:proofErr w:type="gramStart"/>
      <w:r w:rsidRPr="00B46736">
        <w:rPr>
          <w:rFonts w:ascii="Times New Roman" w:hAnsi="Times New Roman" w:cs="Times New Roman"/>
          <w:sz w:val="24"/>
          <w:szCs w:val="24"/>
        </w:rPr>
        <w:t>обязательны</w:t>
      </w:r>
      <w:proofErr w:type="gramEnd"/>
      <w:r w:rsidRPr="00B46736">
        <w:rPr>
          <w:rFonts w:ascii="Times New Roman" w:hAnsi="Times New Roman" w:cs="Times New Roman"/>
          <w:sz w:val="24"/>
          <w:szCs w:val="24"/>
        </w:rPr>
        <w:t xml:space="preserve"> для всех подразделений и работников железнодорожного транспорта. Требованиям ПТЭ должны соответствовать все инструкции и другие руководящие указания, относящиеся к технической эксплуатации, проектированию и строительству железных дорог, сооружений, устройств и подвижного состава.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Инструкция по сигнализации на железных дорогах устанавливает систему видимых и звуковых сигналов для передачи приказов и указаний, относящихся к движению поездов и маневровой работе, а также типы сигнальных приборов, с помощью которых эти сигналы подаются.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Инструкция по движению поездов и маневровой работе устанавливает правила приема, отправления и пропуска поездов при различных устройствах сигнализации, централизации и блокировки (СЦБ) и связи.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Положение о дисциплине работников железнодорожного транспорта нарушение ее может повлечь за собой угрозу для жизни перевозимых людей и сохранности материальных ценностей.</w:t>
      </w: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CE3" w:rsidRPr="00B46736" w:rsidRDefault="00093CE3" w:rsidP="00093C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093CE3" w:rsidRPr="00B46736" w:rsidRDefault="00093CE3" w:rsidP="00093CE3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Дать определение габарита приближения строений.</w:t>
      </w:r>
    </w:p>
    <w:p w:rsidR="00093CE3" w:rsidRPr="00B46736" w:rsidRDefault="00093CE3" w:rsidP="00093CE3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Дать определение габарита  подвижного состава.</w:t>
      </w:r>
    </w:p>
    <w:p w:rsidR="00093CE3" w:rsidRPr="00B46736" w:rsidRDefault="00093CE3" w:rsidP="00093CE3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Дать определение габарита погрузки.</w:t>
      </w:r>
    </w:p>
    <w:p w:rsidR="00093CE3" w:rsidRPr="00B46736" w:rsidRDefault="00093CE3" w:rsidP="00093CE3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Назовите зоны негабаритности.</w:t>
      </w:r>
    </w:p>
    <w:p w:rsidR="00093CE3" w:rsidRPr="00B46736" w:rsidRDefault="00093CE3" w:rsidP="00093CE3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Перечислите и охарактеризуйте основные документы по обеспечению четкой работы железных дорог и безопасности движения</w:t>
      </w:r>
    </w:p>
    <w:p w:rsidR="00093CE3" w:rsidRPr="00B46736" w:rsidRDefault="00093CE3" w:rsidP="00093CE3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736">
        <w:rPr>
          <w:rFonts w:ascii="Times New Roman" w:hAnsi="Times New Roman" w:cs="Times New Roman"/>
          <w:b/>
          <w:sz w:val="24"/>
          <w:szCs w:val="24"/>
        </w:rPr>
        <w:t>Тесты: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B46736">
        <w:rPr>
          <w:rFonts w:ascii="Times New Roman" w:hAnsi="Times New Roman" w:cs="Times New Roman"/>
          <w:sz w:val="24"/>
          <w:szCs w:val="24"/>
        </w:rPr>
        <w:t xml:space="preserve">1 </w:t>
      </w:r>
      <w:r w:rsidRPr="00B46736">
        <w:rPr>
          <w:rFonts w:ascii="Times New Roman" w:eastAsia="Times New Roman" w:hAnsi="Times New Roman" w:cs="Times New Roman"/>
          <w:sz w:val="24"/>
          <w:szCs w:val="24"/>
        </w:rPr>
        <w:t>Габарит подвижного состава обозначается буквой: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а) «С»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б) «Ц»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в) «Т</w:t>
      </w:r>
      <w:proofErr w:type="gramStart"/>
      <w:r w:rsidRPr="00B46736">
        <w:rPr>
          <w:rFonts w:ascii="Times New Roman" w:eastAsia="Times New Roman" w:hAnsi="Times New Roman" w:cs="Times New Roman"/>
          <w:sz w:val="24"/>
          <w:szCs w:val="24"/>
        </w:rPr>
        <w:t>» (+)</w:t>
      </w:r>
      <w:proofErr w:type="gramEnd"/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г) «П»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Чем проверяется габарит погрузки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а) габаритными воротами</w:t>
      </w:r>
      <w:proofErr w:type="gramStart"/>
      <w:r w:rsidRPr="00B46736">
        <w:rPr>
          <w:rFonts w:ascii="Times New Roman" w:eastAsia="Times New Roman" w:hAnsi="Times New Roman" w:cs="Times New Roman"/>
          <w:sz w:val="24"/>
          <w:szCs w:val="24"/>
        </w:rPr>
        <w:t xml:space="preserve"> (+)</w:t>
      </w:r>
      <w:proofErr w:type="gramEnd"/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б) габаритной рамкой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в) замерами при помощи рулетки</w:t>
      </w:r>
    </w:p>
    <w:p w:rsidR="00093CE3" w:rsidRPr="00B46736" w:rsidRDefault="00093CE3" w:rsidP="00093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sz w:val="24"/>
          <w:szCs w:val="24"/>
        </w:rPr>
        <w:t>г) ничем</w:t>
      </w:r>
    </w:p>
    <w:p w:rsidR="00093CE3" w:rsidRDefault="00093CE3" w:rsidP="00093C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Default="00093CE3" w:rsidP="00093C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Default="00093CE3" w:rsidP="00093C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E3" w:rsidRDefault="00093CE3" w:rsidP="00093C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6F2" w:rsidRDefault="000956F2"/>
    <w:sectPr w:rsidR="0009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3FCE"/>
    <w:multiLevelType w:val="hybridMultilevel"/>
    <w:tmpl w:val="521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93CE3"/>
    <w:rsid w:val="00093CE3"/>
    <w:rsid w:val="0009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3C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2024-09-23T08:52:00Z</dcterms:created>
  <dcterms:modified xsi:type="dcterms:W3CDTF">2024-09-23T08:53:00Z</dcterms:modified>
</cp:coreProperties>
</file>