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41E61">
      <w:pPr>
        <w:pStyle w:val="2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10" w:lineRule="atLeast"/>
        <w:ind w:left="210" w:right="0" w:firstLine="0"/>
        <w:jc w:val="center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vertAlign w:val="baseline"/>
        </w:rPr>
        <w:t>ПРАВИТЕЛЬСТВО РОССИЙСКОЙ ФЕДЕРАЦИИ</w:t>
      </w:r>
    </w:p>
    <w:p w14:paraId="59E2B298">
      <w:pPr>
        <w:pStyle w:val="2"/>
        <w:keepNext w:val="0"/>
        <w:keepLines w:val="0"/>
        <w:widowControl/>
        <w:suppressLineNumbers w:val="0"/>
        <w:shd w:val="clear" w:fill="FFFFFF"/>
        <w:spacing w:after="210" w:afterAutospacing="0" w:line="210" w:lineRule="atLeast"/>
        <w:ind w:left="210" w:right="0" w:firstLine="0"/>
        <w:jc w:val="center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bookmarkStart w:id="0" w:name="h1"/>
      <w:bookmarkEnd w:id="0"/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vertAlign w:val="baseline"/>
        </w:rPr>
        <w:t>ПОСТАНОВЛЕНИЕ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vertAlign w:val="baseline"/>
        </w:rPr>
        <w:br w:type="textWrapping"/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vertAlign w:val="baseline"/>
        </w:rPr>
        <w:t>от 18 сентября 2023 г. N 1518</w:t>
      </w:r>
    </w:p>
    <w:p w14:paraId="623CAF44">
      <w:pPr>
        <w:pStyle w:val="2"/>
        <w:keepNext w:val="0"/>
        <w:keepLines w:val="0"/>
        <w:widowControl/>
        <w:suppressLineNumbers w:val="0"/>
        <w:shd w:val="clear" w:fill="FFFFFF"/>
        <w:spacing w:after="210" w:afterAutospacing="0" w:line="210" w:lineRule="atLeast"/>
        <w:ind w:left="210" w:right="0" w:firstLine="0"/>
        <w:jc w:val="center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vertAlign w:val="baseline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vertAlign w:val="baseline"/>
        </w:rPr>
        <w:t>ОБ УТВЕРЖДЕНИИ ПЕРЕЧНЯ РАБОТ, НЕПОСРЕДСТВЕННО СВЯЗАННЫХ С ОБЕСПЕЧЕНИЕМ ТРАНСПОРТНОЙ БЕЗОПАСНОСТИ, И ПРИЗНАНИИ УТРАТИВШИМИ СИЛУ НЕКОТОРЫХ АКТОВ ПРАВИТЕЛЬСТВА РОССИЙСКОЙ ФЕДЕРАЦИИ</w:t>
      </w:r>
    </w:p>
    <w:p w14:paraId="1C497D90">
      <w:pPr>
        <w:pStyle w:val="2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10" w:lineRule="atLeast"/>
        <w:ind w:left="210" w:right="0" w:firstLine="0"/>
        <w:jc w:val="center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ПЕРЕЧЕНЬ РАБОТ, НЕПОСРЕДСТВЕННО СВЯЗАННЫХ С ОБЕСПЕЧЕНИЕМ ТРАНСПОРТНОЙ БЕЗОПАСНОСТИ</w:t>
      </w:r>
    </w:p>
    <w:p w14:paraId="1E035DAD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Аккредитация специализированных организаций в области обеспечения транспортной безопасности.</w:t>
      </w:r>
    </w:p>
    <w:p w14:paraId="31E008BF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Chars="0" w:right="0" w:rightChars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r>
        <w:rPr>
          <w:rFonts w:ascii="MyriadProRegular" w:hAnsi="MyriadProRegular" w:eastAsia="MyriadProRegular" w:cs="MyriadProRegular"/>
          <w:i w:val="0"/>
          <w:iCs w:val="0"/>
          <w:caps w:val="0"/>
          <w:color w:val="1C2B47"/>
          <w:spacing w:val="0"/>
          <w:sz w:val="24"/>
          <w:szCs w:val="24"/>
          <w:shd w:val="clear" w:fill="FFFFFF"/>
        </w:rPr>
        <w:t>Целью аккредитации является определение способности юридического лица осуществлять защиту объектов транспортной инфраструктуры и транспортных средств от актов незаконного вмешательства в области конкретного вида транспорта, а также дорожного хозяйства (далее - область аккредитации).</w:t>
      </w:r>
    </w:p>
    <w:p w14:paraId="1B15D398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leftChars="0" w:right="0" w:firstLine="0" w:firstLineChars="0"/>
        <w:jc w:val="both"/>
        <w:textAlignment w:val="baseline"/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Оценка уязвимости объектов транспортной инфраструктуры и транспортных средств.</w:t>
      </w:r>
    </w:p>
    <w:p w14:paraId="7BE3A438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Chars="0" w:right="0" w:rightChars="0"/>
        <w:jc w:val="both"/>
        <w:textAlignment w:val="baseline"/>
        <w:rPr>
          <w:rFonts w:hint="eastAsia" w:ascii="Malgun Gothic Semilight" w:hAnsi="Malgun Gothic Semilight" w:eastAsia="Malgun Gothic Semilight" w:cs="Malgun Gothic Semilight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Style w:val="6"/>
          <w:rFonts w:hint="default" w:ascii="Segoe Print" w:hAnsi="Segoe Print" w:eastAsia="Malgun Gothic Semilight" w:cs="Segoe Print"/>
          <w:i/>
          <w:iCs/>
          <w:caps w:val="0"/>
          <w:color w:val="333333"/>
          <w:spacing w:val="0"/>
          <w:sz w:val="24"/>
          <w:szCs w:val="24"/>
          <w:shd w:val="clear" w:fill="FFFFFF"/>
        </w:rPr>
        <w:t>Оценка уязвимости объектов транспортной инфраструктуры и транспортных средств</w:t>
      </w:r>
      <w:r>
        <w:rPr>
          <w:rFonts w:hint="default" w:ascii="Segoe Print" w:hAnsi="Segoe Print" w:eastAsia="Malgun Gothic Semilight" w:cs="Segoe Print"/>
          <w:i/>
          <w:iCs/>
          <w:caps w:val="0"/>
          <w:color w:val="333333"/>
          <w:spacing w:val="0"/>
          <w:sz w:val="24"/>
          <w:szCs w:val="24"/>
          <w:shd w:val="clear" w:fill="FFFFFF"/>
        </w:rPr>
        <w:t> — это процедура, которая определяет степень защищённости этих объектов от потенциальных угроз совершения актов незаконного вмешательства в их деятельность. </w:t>
      </w:r>
      <w:r>
        <w:rPr>
          <w:rFonts w:hint="default" w:ascii="Segoe Print" w:hAnsi="Segoe Print" w:eastAsia="Malgun Gothic Semilight" w:cs="Segoe Print"/>
          <w:i/>
          <w:iCs/>
          <w:caps w:val="0"/>
          <w:spacing w:val="0"/>
          <w:sz w:val="24"/>
          <w:szCs w:val="24"/>
          <w:u w:val="none"/>
        </w:rPr>
        <w:fldChar w:fldCharType="begin"/>
      </w:r>
      <w:r>
        <w:rPr>
          <w:rFonts w:hint="default" w:ascii="Segoe Print" w:hAnsi="Segoe Print" w:eastAsia="Malgun Gothic Semilight" w:cs="Segoe Print"/>
          <w:i/>
          <w:iCs/>
          <w:caps w:val="0"/>
          <w:spacing w:val="0"/>
          <w:sz w:val="24"/>
          <w:szCs w:val="24"/>
          <w:u w:val="none"/>
        </w:rPr>
        <w:instrText xml:space="preserve"> HYPERLINK "https://www.garant.ru/products/ipo/prime/doc/98346/" \t "https://yandex.ru/search/_blank" </w:instrText>
      </w:r>
      <w:r>
        <w:rPr>
          <w:rFonts w:hint="default" w:ascii="Segoe Print" w:hAnsi="Segoe Print" w:eastAsia="Malgun Gothic Semilight" w:cs="Segoe Print"/>
          <w:i/>
          <w:iCs/>
          <w:caps w:val="0"/>
          <w:spacing w:val="0"/>
          <w:sz w:val="24"/>
          <w:szCs w:val="24"/>
          <w:u w:val="none"/>
        </w:rPr>
        <w:fldChar w:fldCharType="separate"/>
      </w:r>
      <w:r>
        <w:rPr>
          <w:rStyle w:val="5"/>
          <w:rFonts w:hint="default" w:ascii="Segoe Print" w:hAnsi="Segoe Print" w:eastAsia="Malgun Gothic Semilight" w:cs="Segoe Print"/>
          <w:i/>
          <w:iCs/>
          <w:caps w:val="0"/>
          <w:spacing w:val="0"/>
          <w:sz w:val="24"/>
          <w:szCs w:val="24"/>
          <w:u w:val="none"/>
        </w:rPr>
        <w:br w:type="textWrapping"/>
      </w:r>
      <w:r>
        <w:rPr>
          <w:rFonts w:hint="default" w:ascii="Segoe Print" w:hAnsi="Segoe Print" w:eastAsia="Malgun Gothic Semilight" w:cs="Segoe Print"/>
          <w:i/>
          <w:iCs/>
          <w:caps w:val="0"/>
          <w:spacing w:val="0"/>
          <w:sz w:val="24"/>
          <w:szCs w:val="24"/>
          <w:u w:val="none"/>
        </w:rPr>
        <w:fldChar w:fldCharType="end"/>
      </w:r>
    </w:p>
    <w:p w14:paraId="66F22674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leftChars="0" w:right="0" w:firstLine="0" w:firstLineChars="0"/>
        <w:jc w:val="both"/>
        <w:textAlignment w:val="baseline"/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Категорирование объектов транспортной инфраструктуры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  <w:t>.</w:t>
      </w:r>
    </w:p>
    <w:p w14:paraId="2A8F27B3">
      <w:pPr>
        <w:pStyle w:val="7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Chars="0" w:right="0" w:rightChars="0"/>
        <w:jc w:val="both"/>
        <w:textAlignment w:val="baseline"/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Э</w:t>
      </w: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то процесс, при котором компетентные органы в области обеспечения транспортной безопасности относят каждый объект к одной из категорий. Задача — отнести объект к категории, соответствующей наивысшему количественному показателю любого из критериев. </w:t>
      </w:r>
    </w:p>
    <w:p w14:paraId="46AD3D20">
      <w:pPr>
        <w:pStyle w:val="7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Chars="0" w:right="0" w:rightChars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808080"/>
          <w:spacing w:val="0"/>
          <w:sz w:val="28"/>
          <w:szCs w:val="28"/>
          <w:shd w:val="clear" w:fill="FFFFFF"/>
          <w:vertAlign w:val="baseline"/>
        </w:rPr>
      </w:pPr>
    </w:p>
    <w:p w14:paraId="4DB71526">
      <w:pPr>
        <w:pStyle w:val="7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Chars="0" w:right="0" w:rightChars="0"/>
        <w:jc w:val="both"/>
        <w:textAlignment w:val="baseline"/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808080"/>
          <w:spacing w:val="0"/>
          <w:sz w:val="28"/>
          <w:szCs w:val="28"/>
          <w:shd w:val="clear" w:fill="FFFFFF"/>
          <w:vertAlign w:val="baseline"/>
        </w:rPr>
        <w:t>4.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Осуществление федерального государственного контроля (надзора) в области транспортной безопасности.</w:t>
      </w:r>
    </w:p>
    <w:p w14:paraId="332CEE6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6"/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Федеральным законом от 09.02.2007 №16-ФЗ</w:t>
      </w: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«О транспортной безопасности». В статье 11.1 закона предусмотрена статья «Федеральный государственный контроль (надзор) в области транспортной безопасности»</w:t>
      </w:r>
    </w:p>
    <w:p w14:paraId="747E09D6">
      <w:pPr>
        <w:pStyle w:val="2"/>
        <w:keepNext w:val="0"/>
        <w:keepLines w:val="0"/>
        <w:widowControl/>
        <w:suppressLineNumbers w:val="0"/>
        <w:spacing w:before="360" w:beforeAutospacing="0" w:after="120" w:afterAutospacing="0" w:line="360" w:lineRule="atLeast"/>
        <w:ind w:left="0" w:right="0"/>
        <w:jc w:val="both"/>
        <w:rPr>
          <w:rFonts w:hint="default" w:ascii="Segoe Print" w:hAnsi="Segoe Print" w:eastAsia="Arial" w:cs="Segoe Print"/>
          <w:b/>
          <w:bCs/>
          <w:color w:val="333333"/>
          <w:sz w:val="30"/>
          <w:szCs w:val="30"/>
        </w:rPr>
      </w:pPr>
    </w:p>
    <w:p w14:paraId="78485C83">
      <w:pPr>
        <w:pStyle w:val="2"/>
        <w:keepNext w:val="0"/>
        <w:keepLines w:val="0"/>
        <w:widowControl/>
        <w:suppressLineNumbers w:val="0"/>
        <w:spacing w:before="360" w:beforeAutospacing="0" w:after="120" w:afterAutospacing="0" w:line="360" w:lineRule="atLeast"/>
        <w:ind w:left="0" w:right="0"/>
        <w:jc w:val="both"/>
        <w:rPr>
          <w:rFonts w:hint="default" w:ascii="Segoe Print" w:hAnsi="Segoe Print" w:eastAsia="Arial" w:cs="Segoe Print"/>
          <w:b/>
          <w:bCs/>
          <w:color w:val="333333"/>
          <w:sz w:val="30"/>
          <w:szCs w:val="30"/>
        </w:rPr>
      </w:pPr>
      <w:r>
        <w:rPr>
          <w:rFonts w:hint="default" w:ascii="Segoe Print" w:hAnsi="Segoe Print" w:eastAsia="Arial" w:cs="Segoe Print"/>
          <w:b/>
          <w:bCs/>
          <w:color w:val="333333"/>
          <w:sz w:val="30"/>
          <w:szCs w:val="30"/>
        </w:rPr>
        <w:t>Органы</w:t>
      </w:r>
    </w:p>
    <w:p w14:paraId="7AA58752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both"/>
        <w:rPr>
          <w:rFonts w:ascii="Arial" w:hAnsi="Arial" w:eastAsia="Arial" w:cs="Arial"/>
          <w:caps w:val="0"/>
          <w:color w:val="333333"/>
          <w:spacing w:val="0"/>
          <w:sz w:val="24"/>
          <w:szCs w:val="24"/>
        </w:rPr>
      </w:pP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Федеральный надзор в области транспортной безопасности осуществляется </w:t>
      </w:r>
      <w:r>
        <w:rPr>
          <w:rStyle w:val="6"/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Федеральной службой по надзору в сфере транспорта</w:t>
      </w: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и её территориальными органами. </w:t>
      </w:r>
      <w:r>
        <w:rPr>
          <w:rFonts w:hint="default" w:ascii="Segoe Print" w:hAnsi="Segoe Print" w:eastAsia="Arial" w:cs="Segoe Print"/>
          <w:caps w:val="0"/>
          <w:spacing w:val="0"/>
          <w:kern w:val="0"/>
          <w:sz w:val="18"/>
          <w:szCs w:val="18"/>
          <w:u w:val="none"/>
          <w:lang w:val="en-US" w:eastAsia="zh-CN" w:bidi="ar"/>
        </w:rPr>
        <w:fldChar w:fldCharType="begin"/>
      </w:r>
      <w:r>
        <w:rPr>
          <w:rFonts w:hint="default" w:ascii="Segoe Print" w:hAnsi="Segoe Print" w:eastAsia="Arial" w:cs="Segoe Print"/>
          <w:caps w:val="0"/>
          <w:spacing w:val="0"/>
          <w:kern w:val="0"/>
          <w:sz w:val="18"/>
          <w:szCs w:val="18"/>
          <w:u w:val="none"/>
          <w:lang w:val="en-US" w:eastAsia="zh-CN" w:bidi="ar"/>
        </w:rPr>
        <w:instrText xml:space="preserve"> HYPERLINK "https://docs.cntd.ru/document/1313861413" \t "https://yandex.ru/search/_blank" </w:instrText>
      </w:r>
      <w:r>
        <w:rPr>
          <w:rFonts w:hint="default" w:ascii="Segoe Print" w:hAnsi="Segoe Print" w:eastAsia="Arial" w:cs="Segoe Print"/>
          <w:caps w:val="0"/>
          <w:spacing w:val="0"/>
          <w:kern w:val="0"/>
          <w:sz w:val="18"/>
          <w:szCs w:val="18"/>
          <w:u w:val="none"/>
          <w:lang w:val="en-US" w:eastAsia="zh-CN" w:bidi="ar"/>
        </w:rPr>
        <w:fldChar w:fldCharType="separate"/>
      </w:r>
      <w:r>
        <w:rPr>
          <w:rStyle w:val="5"/>
          <w:rFonts w:hint="default" w:ascii="Segoe Print" w:hAnsi="Segoe Print" w:eastAsia="Arial" w:cs="Segoe Print"/>
          <w:caps w:val="0"/>
          <w:spacing w:val="0"/>
          <w:sz w:val="18"/>
          <w:szCs w:val="18"/>
          <w:u w:val="none"/>
        </w:rPr>
        <w:br w:type="textWrapping"/>
      </w:r>
      <w:r>
        <w:rPr>
          <w:rFonts w:hint="default" w:ascii="Segoe Print" w:hAnsi="Segoe Print" w:eastAsia="Arial" w:cs="Segoe Print"/>
          <w:caps w:val="0"/>
          <w:spacing w:val="0"/>
          <w:kern w:val="0"/>
          <w:sz w:val="18"/>
          <w:szCs w:val="18"/>
          <w:u w:val="none"/>
          <w:lang w:val="en-US" w:eastAsia="zh-CN" w:bidi="ar"/>
        </w:rPr>
        <w:fldChar w:fldCharType="end"/>
      </w:r>
      <w:r>
        <w:rPr>
          <w:rStyle w:val="6"/>
          <w:rFonts w:hint="default" w:ascii="Arial" w:hAnsi="Arial" w:eastAsia="Arial" w:cs="Arial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Некоторые полномочия органов</w:t>
      </w:r>
      <w:r>
        <w:rPr>
          <w:rFonts w:hint="default" w:ascii="Arial" w:hAnsi="Arial" w:eastAsia="Arial" w:cs="Arial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:</w:t>
      </w:r>
    </w:p>
    <w:p w14:paraId="330DEEC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осмотр объектов транспортной инфраструктуры и транспортных средств на предмет выполнения требований;</w:t>
      </w:r>
    </w:p>
    <w:p w14:paraId="175B6A0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запрос у субъектов необходимых документов и информации;</w:t>
      </w:r>
    </w:p>
    <w:p w14:paraId="7C52240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участие в расследовании происшествий, связанных с нарушением требований в области транспортной безопасности;</w:t>
      </w:r>
    </w:p>
    <w:p w14:paraId="02C3352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выдача субъектам обязательных для исполнения предписаний об устранении выявленных нарушений, в том числе о запрете эксплуатации объекта транспортной инфраструктуры, запрете и приостановке движения транспортных средств.</w:t>
      </w:r>
    </w:p>
    <w:p w14:paraId="4D207291">
      <w:pPr>
        <w:pStyle w:val="2"/>
        <w:keepNext w:val="0"/>
        <w:keepLines w:val="0"/>
        <w:widowControl/>
        <w:suppressLineNumbers w:val="0"/>
        <w:shd w:val="clear" w:fill="FFFFFF"/>
        <w:spacing w:before="360" w:beforeAutospacing="0" w:after="120" w:afterAutospacing="0" w:line="360" w:lineRule="atLeast"/>
        <w:ind w:left="0" w:right="0" w:firstLine="0"/>
        <w:jc w:val="both"/>
        <w:rPr>
          <w:rFonts w:ascii="Arial" w:hAnsi="Arial" w:eastAsia="Arial" w:cs="Arial"/>
          <w:b/>
          <w:bCs/>
          <w:caps w:val="0"/>
          <w:color w:val="333333"/>
          <w:spacing w:val="0"/>
          <w:sz w:val="30"/>
          <w:szCs w:val="30"/>
        </w:rPr>
      </w:pPr>
      <w:r>
        <w:rPr>
          <w:rFonts w:hint="default" w:ascii="Arial" w:hAnsi="Arial" w:eastAsia="Arial" w:cs="Arial"/>
          <w:b/>
          <w:bCs/>
          <w:caps w:val="0"/>
          <w:color w:val="333333"/>
          <w:spacing w:val="0"/>
          <w:sz w:val="30"/>
          <w:szCs w:val="30"/>
          <w:shd w:val="clear" w:fill="FFFFFF"/>
        </w:rPr>
        <w:t>Мероприятия</w:t>
      </w:r>
    </w:p>
    <w:p w14:paraId="07ACB300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В рамках контроля и надзора проводятся, например:</w:t>
      </w:r>
    </w:p>
    <w:p w14:paraId="62836C1C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Плановые и внеплановые выездные проверки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субъектов транспортной инфраструктуры. Уполномоченный орган взаимодействует с уполномоченными представителями органов федеральной службы безопасности и органов внутренних дел или их уполномоченных структурных подразделений. </w:t>
      </w:r>
    </w:p>
    <w:p w14:paraId="09A668C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Рейдовый осмотр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— может включать осмотр, досмотр, опрос, получение письменных объяснений, истребование документов, испытание, эксперимент. </w:t>
      </w:r>
    </w:p>
    <w:p w14:paraId="4123683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Постоянный рейд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— проводится на объектах транспортной инфраструктуры, входящих в утверждённый Правительством РФ перечень объектов, критически важных для национальной безопасности страны, других особо важных объектов. В ходе рейда могут совершаться контрольные действия: осмотр, досмотр, опрос, истребование документов, инструментальное обследование.</w:t>
      </w:r>
    </w:p>
    <w:p w14:paraId="705378F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Профилактические мероприятия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— информирование, обобщение правоприменительной практики, объявление предостережения о недопустимости нарушения обязательных требований.</w:t>
      </w:r>
    </w:p>
    <w:p w14:paraId="1F60D6C1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Периодичность плановых мероприятий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зависит от присвоенной категории риска: </w:t>
      </w:r>
    </w:p>
    <w:p w14:paraId="34A3E2CD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для объектов, отнесённых к категории чрезвычайно высокого риска — одно контрольное мероприятие в год;</w:t>
      </w:r>
    </w:p>
    <w:p w14:paraId="138A8D47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для объектов, отнесённых к категории высокого риска — одно контрольное мероприятие в 2 года;</w:t>
      </w:r>
    </w:p>
    <w:p w14:paraId="028A8935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для объектов, отнесённых к категории среднего риска — одно контрольное мероприятие в 3 года.</w:t>
      </w:r>
    </w:p>
    <w:p w14:paraId="5DAADC88">
      <w:pPr>
        <w:pStyle w:val="7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Chars="0" w:right="0" w:rightChars="0"/>
        <w:jc w:val="both"/>
        <w:textAlignment w:val="baseline"/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</w:p>
    <w:p w14:paraId="397C5F74">
      <w:pPr>
        <w:pStyle w:val="7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Chars="0" w:right="0" w:rightChars="0"/>
        <w:jc w:val="both"/>
        <w:textAlignment w:val="baseline"/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</w:p>
    <w:p w14:paraId="7D10DEE4">
      <w:pPr>
        <w:pStyle w:val="7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Chars="0" w:right="0" w:rightChars="0"/>
        <w:jc w:val="both"/>
        <w:textAlignment w:val="baseline"/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  <w:t>5.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Разработка и реализация планов обеспечения транспортной безопасности объектов транспортной инфраструктуры и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Федерации.</w:t>
      </w:r>
      <w:bookmarkStart w:id="1" w:name="l5"/>
      <w:bookmarkEnd w:id="1"/>
    </w:p>
    <w:p w14:paraId="1F22EA3E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left"/>
        <w:rPr>
          <w:rFonts w:ascii="Arial" w:hAnsi="Arial" w:eastAsia="Arial" w:cs="Arial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Arial" w:hAnsi="Arial" w:eastAsia="Arial" w:cs="Arial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Разработка планов обеспечения транспортной безопасности</w:t>
      </w:r>
      <w:r>
        <w:rPr>
          <w:rFonts w:hint="default" w:ascii="Arial" w:hAnsi="Arial" w:eastAsia="Arial" w:cs="Arial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осуществляется субъектами транспортной инфраструктуры. Планы разрабатываются на основании утверждённых результатов оценки уязвимости объектов транспортной инфраструктуры и (или) судов, отдельно для каждого объекта и (или) судна. </w:t>
      </w:r>
    </w:p>
    <w:p w14:paraId="08ED4E2D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left"/>
        <w:rPr>
          <w:rFonts w:hint="default" w:ascii="Arial" w:hAnsi="Arial" w:eastAsia="Arial" w:cs="Arial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Arial" w:hAnsi="Arial" w:eastAsia="Arial" w:cs="Arial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План обеспечения транспортной безопасности</w:t>
      </w:r>
      <w:r>
        <w:rPr>
          <w:rFonts w:hint="default" w:ascii="Arial" w:hAnsi="Arial" w:eastAsia="Arial" w:cs="Arial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определяет систему мер для защиты объектов от незаконного вмешательства и попыток проведения террористических актов. Он содержит, например, сведения о:</w:t>
      </w:r>
    </w:p>
    <w:p w14:paraId="088E1CE9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владельце объекта;</w:t>
      </w:r>
    </w:p>
    <w:p w14:paraId="0B4A917E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технических и технологических характеристиках объекта;</w:t>
      </w:r>
    </w:p>
    <w:p w14:paraId="6D780E04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назначении лиц, ответственных за обеспечение транспортной безопасности;</w:t>
      </w:r>
    </w:p>
    <w:p w14:paraId="58C8F8CC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границах установленной зоны транспортной безопасности;</w:t>
      </w:r>
    </w:p>
    <w:p w14:paraId="07B39C7B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критических элементах объекта;</w:t>
      </w:r>
    </w:p>
    <w:p w14:paraId="7F194057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пропускном и внутриобъектовом режиме;</w:t>
      </w:r>
    </w:p>
    <w:p w14:paraId="360E7E2C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пунктах управления безопасностью объекта;</w:t>
      </w:r>
    </w:p>
    <w:p w14:paraId="238E73BA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местах размещения инженерно-технических средств защиты;</w:t>
      </w:r>
    </w:p>
    <w:p w14:paraId="7D4575D9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порядке досмотра на объекте;</w:t>
      </w:r>
    </w:p>
    <w:p w14:paraId="7044369A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размещении КПП на объекте;</w:t>
      </w:r>
    </w:p>
    <w:p w14:paraId="46D537C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порядке накопления, обработки и хранения данных;</w:t>
      </w:r>
    </w:p>
    <w:p w14:paraId="0996DB5C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порядке действий при тревогах «угроза захвата», «угроза взрыва»;</w:t>
      </w:r>
    </w:p>
    <w:p w14:paraId="2633D9F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порядке проведения учений и тренировок.</w:t>
      </w:r>
    </w:p>
    <w:p w14:paraId="35683024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left"/>
        <w:rPr>
          <w:rFonts w:hint="default" w:ascii="Arial" w:hAnsi="Arial" w:eastAsia="Arial" w:cs="Arial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 w14:paraId="7C603B06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both"/>
        <w:rPr>
          <w:rFonts w:hint="default" w:ascii="Segoe Print" w:hAnsi="Segoe Print" w:eastAsia="Arial" w:cs="Segoe Print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egoe Print" w:hAnsi="Segoe Print" w:eastAsia="Arial" w:cs="Segoe Print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План оформляется в виде текстового документа</w:t>
      </w:r>
      <w:r>
        <w:rPr>
          <w:rFonts w:hint="default" w:ascii="Segoe Print" w:hAnsi="Segoe Print" w:eastAsia="Arial" w:cs="Segoe Print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с графическими планами-схемами, к нему прилагаются копии документов, заверенных субъектом транспортной инфраструктуры. </w:t>
      </w:r>
      <w:r>
        <w:rPr>
          <w:rStyle w:val="6"/>
          <w:rFonts w:hint="default" w:ascii="Segoe Print" w:hAnsi="Segoe Print" w:eastAsia="Arial" w:cs="Segoe Print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Реализация планов</w:t>
      </w:r>
      <w:r>
        <w:rPr>
          <w:rFonts w:hint="default" w:ascii="Segoe Print" w:hAnsi="Segoe Print" w:eastAsia="Arial" w:cs="Segoe Print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включает в себя, в частности, направление плана в контролирующий государственный орган в трёх экземплярах. В случае принятия решения об утверждении плана, один экземпляр направляется субъекту транспортной инфраструктуры, а два других остаются в компетентном органе. </w:t>
      </w:r>
    </w:p>
    <w:p w14:paraId="5DE89EAD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both"/>
        <w:rPr>
          <w:rFonts w:hint="default" w:ascii="Segoe Print" w:hAnsi="Segoe Print" w:eastAsia="Arial" w:cs="Segoe Print"/>
          <w:caps w:val="0"/>
          <w:color w:val="333333"/>
          <w:spacing w:val="0"/>
          <w:sz w:val="24"/>
          <w:szCs w:val="24"/>
        </w:rPr>
      </w:pPr>
      <w:r>
        <w:rPr>
          <w:rFonts w:hint="default" w:ascii="Segoe Print" w:hAnsi="Segoe Print" w:eastAsia="Arial" w:cs="Segoe Print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Порядок разработки планов обеспечения транспортной безопасности утверждён приказом Минтранса России от 2 июля 2021 года №225. </w:t>
      </w:r>
    </w:p>
    <w:p w14:paraId="59BD848C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Chars="0" w:right="0" w:rightChars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</w:p>
    <w:p w14:paraId="00C540C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808080"/>
          <w:spacing w:val="0"/>
          <w:sz w:val="28"/>
          <w:szCs w:val="28"/>
          <w:shd w:val="clear" w:fill="FFFFFF"/>
          <w:vertAlign w:val="baseline"/>
        </w:rPr>
        <w:t>6.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Формирование и ведение информационных ресурсов единой государственной информационной системы обеспечения транспортной безопасности, в том числе автоматизированных централизованных баз персональных данных о пассажирах.</w:t>
      </w:r>
      <w:bookmarkStart w:id="2" w:name="l9"/>
      <w:bookmarkEnd w:id="2"/>
    </w:p>
    <w:p w14:paraId="38DE31B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808080"/>
          <w:spacing w:val="0"/>
          <w:sz w:val="28"/>
          <w:szCs w:val="28"/>
          <w:shd w:val="clear" w:fill="FFFFFF"/>
          <w:vertAlign w:val="baseline"/>
        </w:rPr>
        <w:t>7.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Аттестация сил обеспечения транспортной безопасности.</w:t>
      </w:r>
    </w:p>
    <w:p w14:paraId="5D13AA5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6"/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Аттестация сил обеспечения транспортной безопасности (АТСБ) в России</w:t>
      </w: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— это процедура, которая устанавливает соответствие знаний, умений и навыков аттестуемых лиц, личностных (психофизиологических) качеств и уровня физической подготовки отдельных категорий аттестуемых лиц требованиям законодательства о транспортной безопасности. </w:t>
      </w:r>
    </w:p>
    <w:p w14:paraId="2E693DA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Порядок аттестации утверждён </w:t>
      </w:r>
      <w:r>
        <w:rPr>
          <w:rStyle w:val="6"/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постановлением Правительства РФ от 01.06.2023 №905</w:t>
      </w: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(ред. от 12.12.2025) «О порядке аттестации сил обеспечения транспортной безопасности»</w:t>
      </w:r>
    </w:p>
    <w:p w14:paraId="02A5CE16">
      <w:pPr>
        <w:pStyle w:val="2"/>
        <w:keepNext w:val="0"/>
        <w:keepLines w:val="0"/>
        <w:widowControl/>
        <w:suppressLineNumbers w:val="0"/>
        <w:shd w:val="clear" w:fill="FFFFFF"/>
        <w:spacing w:before="360" w:beforeAutospacing="0" w:after="120" w:afterAutospacing="0" w:line="360" w:lineRule="atLeast"/>
        <w:ind w:left="0" w:right="0" w:firstLine="0"/>
        <w:rPr>
          <w:rFonts w:hint="default" w:ascii="Segoe Print" w:hAnsi="Segoe Print" w:eastAsia="Arial" w:cs="Segoe Print"/>
          <w:b/>
          <w:bCs/>
          <w:caps w:val="0"/>
          <w:color w:val="333333"/>
          <w:spacing w:val="0"/>
          <w:sz w:val="30"/>
          <w:szCs w:val="30"/>
        </w:rPr>
      </w:pPr>
      <w:r>
        <w:rPr>
          <w:rFonts w:hint="default" w:ascii="Segoe Print" w:hAnsi="Segoe Print" w:eastAsia="Arial" w:cs="Segoe Print"/>
          <w:b/>
          <w:bCs/>
          <w:caps w:val="0"/>
          <w:color w:val="333333"/>
          <w:spacing w:val="0"/>
          <w:sz w:val="30"/>
          <w:szCs w:val="30"/>
          <w:shd w:val="clear" w:fill="FFFFFF"/>
        </w:rPr>
        <w:t>Цели</w:t>
      </w:r>
    </w:p>
    <w:p w14:paraId="10146F96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left"/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Аттестация проводится, чтобы </w:t>
      </w:r>
      <w:r>
        <w:rPr>
          <w:rStyle w:val="6"/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субъект транспортной инфраструктуры принял решение</w:t>
      </w: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о допуске (невозможности допуска) аттестуемых лиц к выполнению работы, непосредственно связанной с обеспечением транспортной безопасности, либо об отстранении от такой работы. </w:t>
      </w:r>
      <w:r>
        <w:rPr>
          <w:rFonts w:hint="default" w:ascii="Segoe Print" w:hAnsi="Segoe Print" w:eastAsia="Arial" w:cs="Segoe Print"/>
          <w:i w:val="0"/>
          <w:iCs w:val="0"/>
          <w:caps w:val="0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Segoe Print" w:hAnsi="Segoe Print" w:eastAsia="Arial" w:cs="Segoe Print"/>
          <w:i w:val="0"/>
          <w:iCs w:val="0"/>
          <w:caps w:val="0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"https://normativ.kontur.ru/document?moduleId=1&amp;documentId=503340" \t "https://yandex.ru/search/_blank" </w:instrText>
      </w:r>
      <w:r>
        <w:rPr>
          <w:rFonts w:hint="default" w:ascii="Segoe Print" w:hAnsi="Segoe Print" w:eastAsia="Arial" w:cs="Segoe Print"/>
          <w:i w:val="0"/>
          <w:iCs w:val="0"/>
          <w:caps w:val="0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Segoe Print" w:hAnsi="Segoe Print" w:eastAsia="Arial" w:cs="Segoe Print"/>
          <w:i w:val="0"/>
          <w:iCs w:val="0"/>
          <w:caps w:val="0"/>
          <w:spacing w:val="0"/>
          <w:sz w:val="18"/>
          <w:szCs w:val="18"/>
          <w:u w:val="none"/>
          <w:shd w:val="clear" w:fill="FFFFFF"/>
        </w:rPr>
        <w:t>normativ.kontur.ru</w:t>
      </w:r>
      <w:r>
        <w:rPr>
          <w:rFonts w:hint="default" w:ascii="Segoe Print" w:hAnsi="Segoe Print" w:eastAsia="Arial" w:cs="Segoe Print"/>
          <w:i w:val="0"/>
          <w:iCs w:val="0"/>
          <w:caps w:val="0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Segoe Print" w:hAnsi="Segoe Print" w:eastAsia="Arial" w:cs="Segoe Print"/>
          <w:i w:val="0"/>
          <w:iCs w:val="0"/>
          <w:caps w:val="0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Segoe Print" w:hAnsi="Segoe Print" w:eastAsia="Arial" w:cs="Segoe Print"/>
          <w:i w:val="0"/>
          <w:iCs w:val="0"/>
          <w:caps w:val="0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"https://www.law.ru/npd/doc/docid/1301714652/modid/99" \t "https://yandex.ru/search/_blank" </w:instrText>
      </w:r>
      <w:r>
        <w:rPr>
          <w:rFonts w:hint="default" w:ascii="Segoe Print" w:hAnsi="Segoe Print" w:eastAsia="Arial" w:cs="Segoe Print"/>
          <w:i w:val="0"/>
          <w:iCs w:val="0"/>
          <w:caps w:val="0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Segoe Print" w:hAnsi="Segoe Print" w:eastAsia="Arial" w:cs="Segoe Print"/>
          <w:i w:val="0"/>
          <w:iCs w:val="0"/>
          <w:caps w:val="0"/>
          <w:spacing w:val="0"/>
          <w:sz w:val="18"/>
          <w:szCs w:val="18"/>
          <w:u w:val="none"/>
          <w:shd w:val="clear" w:fill="FFFFFF"/>
        </w:rPr>
        <w:t>law.ru</w:t>
      </w:r>
      <w:r>
        <w:rPr>
          <w:rFonts w:hint="default" w:ascii="Segoe Print" w:hAnsi="Segoe Print" w:eastAsia="Arial" w:cs="Segoe Print"/>
          <w:i w:val="0"/>
          <w:iCs w:val="0"/>
          <w:caps w:val="0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</w:p>
    <w:p w14:paraId="1E5F34F9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left"/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Аттестация проводится с периодичностью </w:t>
      </w:r>
      <w:r>
        <w:rPr>
          <w:rStyle w:val="6"/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один раз в 5 лет</w:t>
      </w: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органами аттестации. </w:t>
      </w:r>
    </w:p>
    <w:p w14:paraId="7AEFFDA1">
      <w:pPr>
        <w:pStyle w:val="2"/>
        <w:keepNext w:val="0"/>
        <w:keepLines w:val="0"/>
        <w:widowControl/>
        <w:suppressLineNumbers w:val="0"/>
        <w:spacing w:before="360" w:beforeAutospacing="0" w:after="120" w:afterAutospacing="0" w:line="360" w:lineRule="atLeast"/>
        <w:ind w:left="0" w:right="0"/>
        <w:rPr>
          <w:rFonts w:ascii="Arial" w:hAnsi="Arial" w:eastAsia="Arial" w:cs="Arial"/>
          <w:b/>
          <w:bCs/>
          <w:color w:val="333333"/>
          <w:sz w:val="30"/>
          <w:szCs w:val="30"/>
        </w:rPr>
      </w:pPr>
      <w:r>
        <w:rPr>
          <w:rFonts w:hint="default" w:ascii="Arial" w:hAnsi="Arial" w:eastAsia="Arial" w:cs="Arial"/>
          <w:b/>
          <w:bCs/>
          <w:color w:val="333333"/>
          <w:sz w:val="30"/>
          <w:szCs w:val="30"/>
        </w:rPr>
        <w:t>Процедура</w:t>
      </w:r>
    </w:p>
    <w:p w14:paraId="4166ED99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left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Некоторые особенности процедуры аттестации:</w:t>
      </w:r>
    </w:p>
    <w:p w14:paraId="164A5239">
      <w:pPr>
        <w:keepNext w:val="0"/>
        <w:keepLines w:val="0"/>
        <w:widowControl/>
        <w:numPr>
          <w:ilvl w:val="0"/>
          <w:numId w:val="6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sz w:val="24"/>
          <w:szCs w:val="24"/>
        </w:rPr>
        <w:t>Подача заявления и документов</w:t>
      </w:r>
      <w:r>
        <w:rPr>
          <w:rFonts w:hint="default" w:ascii="Arial" w:hAnsi="Arial" w:eastAsia="Arial" w:cs="Arial"/>
          <w:sz w:val="24"/>
          <w:szCs w:val="24"/>
        </w:rPr>
        <w:t> в орган аттестации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(функций)». 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begin"/>
      </w:r>
      <w:r>
        <w:rPr>
          <w:rFonts w:hint="default" w:ascii="Arial" w:hAnsi="Arial" w:eastAsia="Arial" w:cs="Arial"/>
          <w:sz w:val="18"/>
          <w:szCs w:val="18"/>
          <w:u w:val="none"/>
        </w:rPr>
        <w:instrText xml:space="preserve"> HYPERLINK "https://normativ.kontur.ru/document?moduleId=1&amp;documentId=503340" \t "https://yandex.ru/search/_blank" </w:instrTex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separate"/>
      </w:r>
      <w:r>
        <w:rPr>
          <w:rStyle w:val="5"/>
          <w:rFonts w:hint="default" w:ascii="Arial" w:hAnsi="Arial" w:eastAsia="Arial" w:cs="Arial"/>
          <w:sz w:val="18"/>
          <w:szCs w:val="18"/>
          <w:u w:val="none"/>
        </w:rPr>
        <w:t>normativ.kontur.ru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end"/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begin"/>
      </w:r>
      <w:r>
        <w:rPr>
          <w:rFonts w:hint="default" w:ascii="Arial" w:hAnsi="Arial" w:eastAsia="Arial" w:cs="Arial"/>
          <w:sz w:val="18"/>
          <w:szCs w:val="18"/>
          <w:u w:val="none"/>
        </w:rPr>
        <w:instrText xml:space="preserve"> HYPERLINK "https://www.law.ru/npd/doc/docid/1301714652/modid/99" \t "https://yandex.ru/search/_blank" </w:instrTex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separate"/>
      </w:r>
      <w:r>
        <w:rPr>
          <w:rStyle w:val="5"/>
          <w:rFonts w:hint="default" w:ascii="Arial" w:hAnsi="Arial" w:eastAsia="Arial" w:cs="Arial"/>
          <w:sz w:val="18"/>
          <w:szCs w:val="18"/>
          <w:u w:val="none"/>
        </w:rPr>
        <w:t>law.ru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end"/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begin"/>
      </w:r>
      <w:r>
        <w:rPr>
          <w:rFonts w:hint="default" w:ascii="Arial" w:hAnsi="Arial" w:eastAsia="Arial" w:cs="Arial"/>
          <w:sz w:val="18"/>
          <w:szCs w:val="18"/>
          <w:u w:val="none"/>
        </w:rPr>
        <w:instrText xml:space="preserve"> HYPERLINK "https://atb-y.ru/upload/iblock/abd/rfcmc2p6g8q8gzd4qrdm0wk6n5oycuos.pdf" \t "https://yandex.ru/search/_blank" </w:instrTex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separate"/>
      </w:r>
      <w:r>
        <w:rPr>
          <w:rStyle w:val="5"/>
          <w:rFonts w:hint="default" w:ascii="Arial" w:hAnsi="Arial" w:eastAsia="Arial" w:cs="Arial"/>
          <w:sz w:val="18"/>
          <w:szCs w:val="18"/>
          <w:u w:val="none"/>
        </w:rPr>
        <w:t>atb-y.ru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end"/>
      </w:r>
    </w:p>
    <w:p w14:paraId="0B1FE56E">
      <w:pPr>
        <w:keepNext w:val="0"/>
        <w:keepLines w:val="0"/>
        <w:widowControl/>
        <w:numPr>
          <w:ilvl w:val="0"/>
          <w:numId w:val="6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sz w:val="24"/>
          <w:szCs w:val="24"/>
        </w:rPr>
        <w:t>Проведение проверок</w:t>
      </w:r>
      <w:r>
        <w:rPr>
          <w:rFonts w:hint="default" w:ascii="Arial" w:hAnsi="Arial" w:eastAsia="Arial" w:cs="Arial"/>
          <w:sz w:val="24"/>
          <w:szCs w:val="24"/>
        </w:rPr>
        <w:t> органами аттестации (аттестующими организациями). Устанавливаются соответствие аттестуемых лиц требованиям к знаниям, умениям и навыкам, а также соответствие отдельных категорий аттестуемых лиц требованиям к личностным (психофизиологическим) качествам и уровню физической подготовки, утверждаемым Министерством транспорта РФ. 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begin"/>
      </w:r>
      <w:r>
        <w:rPr>
          <w:rFonts w:hint="default" w:ascii="Arial" w:hAnsi="Arial" w:eastAsia="Arial" w:cs="Arial"/>
          <w:sz w:val="18"/>
          <w:szCs w:val="18"/>
          <w:u w:val="none"/>
        </w:rPr>
        <w:instrText xml:space="preserve"> HYPERLINK "https://www.law.ru/npd/doc/docid/1301714652/modid/99" \t "https://yandex.ru/search/_blank" </w:instrTex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separate"/>
      </w:r>
      <w:r>
        <w:rPr>
          <w:rStyle w:val="5"/>
          <w:rFonts w:hint="default" w:ascii="Arial" w:hAnsi="Arial" w:eastAsia="Arial" w:cs="Arial"/>
          <w:sz w:val="18"/>
          <w:szCs w:val="18"/>
          <w:u w:val="none"/>
        </w:rPr>
        <w:t>law.ru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end"/>
      </w:r>
    </w:p>
    <w:p w14:paraId="012F16FD">
      <w:pPr>
        <w:keepNext w:val="0"/>
        <w:keepLines w:val="0"/>
        <w:widowControl/>
        <w:numPr>
          <w:ilvl w:val="0"/>
          <w:numId w:val="6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sz w:val="24"/>
          <w:szCs w:val="24"/>
        </w:rPr>
        <w:t>Вынесение заключения</w:t>
      </w:r>
      <w:r>
        <w:rPr>
          <w:rFonts w:hint="default" w:ascii="Arial" w:hAnsi="Arial" w:eastAsia="Arial" w:cs="Arial"/>
          <w:sz w:val="24"/>
          <w:szCs w:val="24"/>
        </w:rPr>
        <w:t> о соответствии знаний, умений и навыков аттестуемого лица требованиям законодательства о транспортной безопасности. 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begin"/>
      </w:r>
      <w:r>
        <w:rPr>
          <w:rFonts w:hint="default" w:ascii="Arial" w:hAnsi="Arial" w:eastAsia="Arial" w:cs="Arial"/>
          <w:sz w:val="18"/>
          <w:szCs w:val="18"/>
          <w:u w:val="none"/>
        </w:rPr>
        <w:instrText xml:space="preserve"> HYPERLINK "https://normativ.kontur.ru/document?moduleId=1&amp;documentId=503340" \t "https://yandex.ru/search/_blank" </w:instrTex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separate"/>
      </w:r>
      <w:r>
        <w:rPr>
          <w:rStyle w:val="5"/>
          <w:rFonts w:hint="default" w:ascii="Arial" w:hAnsi="Arial" w:eastAsia="Arial" w:cs="Arial"/>
          <w:sz w:val="18"/>
          <w:szCs w:val="18"/>
          <w:u w:val="none"/>
        </w:rPr>
        <w:t>normativ.kontur.ru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end"/>
      </w:r>
    </w:p>
    <w:p w14:paraId="39D60C1A">
      <w:pPr>
        <w:keepNext w:val="0"/>
        <w:keepLines w:val="0"/>
        <w:widowControl/>
        <w:numPr>
          <w:ilvl w:val="0"/>
          <w:numId w:val="6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sz w:val="24"/>
          <w:szCs w:val="24"/>
        </w:rPr>
        <w:t>Принятие решения об аттестации</w:t>
      </w:r>
      <w:r>
        <w:rPr>
          <w:rFonts w:hint="default" w:ascii="Arial" w:hAnsi="Arial" w:eastAsia="Arial" w:cs="Arial"/>
          <w:sz w:val="24"/>
          <w:szCs w:val="24"/>
        </w:rPr>
        <w:t> на основании заключения о соответствии, которое оформляется в электронном виде и подписывается усиленной квалифицированной электронной подписью уполномоченного должностного лица органа аттестации. 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begin"/>
      </w:r>
      <w:r>
        <w:rPr>
          <w:rFonts w:hint="default" w:ascii="Arial" w:hAnsi="Arial" w:eastAsia="Arial" w:cs="Arial"/>
          <w:sz w:val="18"/>
          <w:szCs w:val="18"/>
          <w:u w:val="none"/>
        </w:rPr>
        <w:instrText xml:space="preserve"> HYPERLINK "https://normativ.kontur.ru/document?moduleId=1&amp;documentId=503340" \t "https://yandex.ru/search/_blank" </w:instrTex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separate"/>
      </w:r>
      <w:r>
        <w:rPr>
          <w:rStyle w:val="5"/>
          <w:rFonts w:hint="default" w:ascii="Arial" w:hAnsi="Arial" w:eastAsia="Arial" w:cs="Arial"/>
          <w:sz w:val="18"/>
          <w:szCs w:val="18"/>
          <w:u w:val="none"/>
        </w:rPr>
        <w:t>normativ.kontur.ru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end"/>
      </w:r>
    </w:p>
    <w:p w14:paraId="1D91CFD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sz w:val="24"/>
          <w:szCs w:val="24"/>
        </w:rPr>
        <w:t>Внесение сведений об аттестации</w:t>
      </w:r>
      <w:r>
        <w:rPr>
          <w:rFonts w:hint="default" w:ascii="Arial" w:hAnsi="Arial" w:eastAsia="Arial" w:cs="Arial"/>
          <w:sz w:val="24"/>
          <w:szCs w:val="24"/>
        </w:rPr>
        <w:t> в реестр выданных свидетельств об аттестации сил обеспечения транспортной безопасности. 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begin"/>
      </w:r>
      <w:r>
        <w:rPr>
          <w:rFonts w:hint="default" w:ascii="Arial" w:hAnsi="Arial" w:eastAsia="Arial" w:cs="Arial"/>
          <w:sz w:val="18"/>
          <w:szCs w:val="18"/>
          <w:u w:val="none"/>
        </w:rPr>
        <w:instrText xml:space="preserve"> HYPERLINK "https://normativ.kontur.ru/document?moduleId=1&amp;documentId=503340" \t "https://yandex.ru/search/_blank" </w:instrTex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separate"/>
      </w:r>
      <w:r>
        <w:rPr>
          <w:rStyle w:val="5"/>
          <w:rFonts w:hint="default" w:ascii="Arial" w:hAnsi="Arial" w:eastAsia="Arial" w:cs="Arial"/>
          <w:sz w:val="18"/>
          <w:szCs w:val="18"/>
          <w:u w:val="none"/>
        </w:rPr>
        <w:t>normativ.kontur.ru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end"/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begin"/>
      </w:r>
      <w:r>
        <w:rPr>
          <w:rFonts w:hint="default" w:ascii="Arial" w:hAnsi="Arial" w:eastAsia="Arial" w:cs="Arial"/>
          <w:sz w:val="18"/>
          <w:szCs w:val="18"/>
          <w:u w:val="none"/>
        </w:rPr>
        <w:instrText xml:space="preserve"> HYPERLINK "https://atb-y.ru/upload/iblock/abd/rfcmc2p6g8q8gzd4qrdm0wk6n5oycuos.pdf" \t "https://yandex.ru/search/_blank" </w:instrTex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separate"/>
      </w:r>
      <w:r>
        <w:rPr>
          <w:rStyle w:val="5"/>
          <w:rFonts w:hint="default" w:ascii="Arial" w:hAnsi="Arial" w:eastAsia="Arial" w:cs="Arial"/>
          <w:sz w:val="18"/>
          <w:szCs w:val="18"/>
          <w:u w:val="none"/>
        </w:rPr>
        <w:t>atb-y.ru</w:t>
      </w:r>
      <w:r>
        <w:rPr>
          <w:rFonts w:hint="default" w:ascii="Arial" w:hAnsi="Arial" w:eastAsia="Arial" w:cs="Arial"/>
          <w:sz w:val="18"/>
          <w:szCs w:val="18"/>
          <w:u w:val="none"/>
        </w:rPr>
        <w:fldChar w:fldCharType="end"/>
      </w:r>
    </w:p>
    <w:p w14:paraId="2B913FE8">
      <w:pPr>
        <w:pStyle w:val="2"/>
        <w:keepNext w:val="0"/>
        <w:keepLines w:val="0"/>
        <w:widowControl/>
        <w:suppressLineNumbers w:val="0"/>
        <w:spacing w:before="360" w:beforeAutospacing="0" w:after="120" w:afterAutospacing="0" w:line="360" w:lineRule="atLeast"/>
        <w:ind w:left="0" w:right="0"/>
        <w:rPr>
          <w:rFonts w:hint="default" w:ascii="Arial" w:hAnsi="Arial" w:eastAsia="Arial" w:cs="Arial"/>
          <w:b/>
          <w:bCs/>
          <w:color w:val="333333"/>
          <w:sz w:val="30"/>
          <w:szCs w:val="30"/>
        </w:rPr>
      </w:pPr>
      <w:r>
        <w:rPr>
          <w:rFonts w:hint="default" w:ascii="Arial" w:hAnsi="Arial" w:eastAsia="Arial" w:cs="Arial"/>
          <w:b/>
          <w:bCs/>
          <w:color w:val="333333"/>
          <w:sz w:val="30"/>
          <w:szCs w:val="30"/>
        </w:rPr>
        <w:t>Документы</w:t>
      </w:r>
    </w:p>
    <w:p w14:paraId="634F9A95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left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Некоторые документы, которые могут быть представлены в орган аттестации:</w:t>
      </w:r>
    </w:p>
    <w:p w14:paraId="0659C36A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</w:rPr>
        <w:t>заявление о проведении аттестации;</w:t>
      </w:r>
    </w:p>
    <w:p w14:paraId="35722FCB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</w:rPr>
        <w:t>анкета;</w:t>
      </w:r>
    </w:p>
    <w:p w14:paraId="15EB445E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</w:rPr>
        <w:t>одна фотография аттестуемого лица размером 3 на 4 сантиметра (в том числе в электронном виде);</w:t>
      </w:r>
    </w:p>
    <w:p w14:paraId="5FCD3190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</w:rPr>
        <w:t>копия документа, удостоверяющего личность, аттестуемого лица, заверенная субъектом транспортной инфраструктуры, специализированной организацией в области обеспечения транспортной безопасности и др.;</w:t>
      </w:r>
    </w:p>
    <w:p w14:paraId="781BE2A5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</w:rPr>
        <w:t>копия трудовой книжки аттестуемого лица, заверенная надлежащим образом субъектом транспортной инфраструктуры, подразделением транспортной безопасности и др.;</w:t>
      </w:r>
    </w:p>
    <w:p w14:paraId="38FAE01D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</w:rPr>
        <w:t>справка о наличии (отсутствии) судимости и (или) факта уголовного преследования либо о прекращении уголовного преследования в отношении аттестуемого лица, выданная не ранее 60 дней до дня представления этой справки.</w:t>
      </w:r>
    </w:p>
    <w:p w14:paraId="230FDE8F">
      <w:pPr>
        <w:pStyle w:val="2"/>
        <w:keepNext w:val="0"/>
        <w:keepLines w:val="0"/>
        <w:widowControl/>
        <w:suppressLineNumbers w:val="0"/>
        <w:spacing w:before="360" w:beforeAutospacing="0" w:after="120" w:afterAutospacing="0" w:line="360" w:lineRule="atLeast"/>
        <w:ind w:left="0" w:right="0"/>
        <w:rPr>
          <w:rFonts w:hint="default" w:ascii="Arial" w:hAnsi="Arial" w:eastAsia="Arial" w:cs="Arial"/>
          <w:b/>
          <w:bCs/>
          <w:color w:val="333333"/>
          <w:sz w:val="30"/>
          <w:szCs w:val="30"/>
        </w:rPr>
      </w:pPr>
      <w:r>
        <w:rPr>
          <w:rFonts w:hint="default" w:ascii="Arial" w:hAnsi="Arial" w:eastAsia="Arial" w:cs="Arial"/>
          <w:b/>
          <w:bCs/>
          <w:color w:val="333333"/>
          <w:sz w:val="30"/>
          <w:szCs w:val="30"/>
        </w:rPr>
        <w:t>Ответственность</w:t>
      </w:r>
    </w:p>
    <w:p w14:paraId="406CE01D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left"/>
        <w:rPr>
          <w:rFonts w:hint="default" w:ascii="Arial" w:hAnsi="Arial" w:eastAsia="Arial" w:cs="Arial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За нарушение порядка прохождения аттестации сил обеспечения транспортной безопасности в России предусмотрена </w:t>
      </w:r>
      <w:r>
        <w:rPr>
          <w:rStyle w:val="6"/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административная ответственность</w:t>
      </w: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 по статье 11.15.2 КоАП РФ «Нарушение установленных в области обеспечения транспортной безопасности порядков и правил». </w:t>
      </w:r>
      <w:r>
        <w:rPr>
          <w:rFonts w:hint="default" w:ascii="Arial" w:hAnsi="Arial" w:eastAsia="Arial" w:cs="Arial"/>
          <w:kern w:val="0"/>
          <w:sz w:val="18"/>
          <w:szCs w:val="18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Arial" w:cs="Arial"/>
          <w:kern w:val="0"/>
          <w:sz w:val="18"/>
          <w:szCs w:val="18"/>
          <w:u w:val="none"/>
          <w:lang w:val="en-US" w:eastAsia="zh-CN" w:bidi="ar"/>
        </w:rPr>
        <w:instrText xml:space="preserve"> HYPERLINK "https://www.consultant.ru/document/cons_doc_LAW_34661/00bf1b74ec054b5146da61b22a98f9700475c89f/" \t "https://yandex.ru/search/_blank" </w:instrText>
      </w:r>
      <w:r>
        <w:rPr>
          <w:rFonts w:hint="default" w:ascii="Arial" w:hAnsi="Arial" w:eastAsia="Arial" w:cs="Arial"/>
          <w:kern w:val="0"/>
          <w:sz w:val="18"/>
          <w:szCs w:val="18"/>
          <w:u w:val="none"/>
          <w:lang w:val="en-US" w:eastAsia="zh-CN" w:bidi="ar"/>
        </w:rPr>
        <w:fldChar w:fldCharType="separate"/>
      </w:r>
      <w:r>
        <w:rPr>
          <w:rFonts w:hint="default" w:ascii="Arial" w:hAnsi="Arial" w:eastAsia="Arial" w:cs="Arial"/>
          <w:kern w:val="0"/>
          <w:sz w:val="18"/>
          <w:szCs w:val="18"/>
          <w:u w:val="none"/>
          <w:lang w:val="en-US" w:eastAsia="zh-CN" w:bidi="ar"/>
        </w:rPr>
        <w:fldChar w:fldCharType="end"/>
      </w:r>
    </w:p>
    <w:p w14:paraId="7E1305E1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left"/>
        <w:rPr>
          <w:rFonts w:hint="default" w:ascii="Arial" w:hAnsi="Arial" w:eastAsia="Arial" w:cs="Arial"/>
          <w:kern w:val="0"/>
          <w:sz w:val="18"/>
          <w:szCs w:val="18"/>
          <w:u w:val="none"/>
          <w:lang w:val="en-US" w:eastAsia="zh-CN" w:bidi="ar"/>
        </w:rPr>
      </w:pPr>
    </w:p>
    <w:p w14:paraId="3F2BD5ED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Сертификация технических средств обеспечения транспортной безопасности.</w:t>
      </w:r>
      <w:bookmarkStart w:id="3" w:name="l6"/>
      <w:bookmarkEnd w:id="3"/>
    </w:p>
    <w:p w14:paraId="1BA37C37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both"/>
        <w:rPr>
          <w:rFonts w:hint="default" w:ascii="Segoe Print" w:hAnsi="Segoe Print" w:eastAsia="Arial" w:cs="Segoe Print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Segoe Print" w:hAnsi="Segoe Print" w:eastAsia="Arial" w:cs="Segoe Print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Сертификация технических средств обеспечения транспортной безопасности (ТС ОБ)</w:t>
      </w:r>
      <w:r>
        <w:rPr>
          <w:rFonts w:hint="default" w:ascii="Segoe Print" w:hAnsi="Segoe Print" w:eastAsia="Arial" w:cs="Segoe Print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— это процесс подтверждения соответствия систем и средств сигнализации, контроля доступа, досмотра, видеонаблюдения, аудио- и видеозаписи, связи, оповещения, сбора, обработки, приёма и передачи информации, предназначенных для использования на объектах транспортной инфраструктуры и транспортных средствах в целях обеспечения транспортной безопасности. </w:t>
      </w:r>
    </w:p>
    <w:p w14:paraId="0E4B006F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both"/>
        <w:rPr>
          <w:rFonts w:hint="default" w:ascii="Segoe Print" w:hAnsi="Segoe Print" w:eastAsia="Arial" w:cs="Segoe Print"/>
          <w:caps w:val="0"/>
          <w:color w:val="333333"/>
          <w:spacing w:val="0"/>
          <w:sz w:val="24"/>
          <w:szCs w:val="24"/>
        </w:rPr>
      </w:pPr>
      <w:r>
        <w:rPr>
          <w:rFonts w:hint="default" w:ascii="Segoe Print" w:hAnsi="Segoe Print" w:eastAsia="Arial" w:cs="Segoe Print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Сертификация обязательна в соответствии с частью 8 статьи 12-2 Федерального закона «О транспортной безопасности».</w:t>
      </w:r>
    </w:p>
    <w:p w14:paraId="5935CC15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Chars="0" w:right="0" w:rightChars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</w:p>
    <w:p w14:paraId="3E60BD70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leftChars="0" w:right="0" w:firstLine="0" w:firstLineChars="0"/>
        <w:jc w:val="both"/>
        <w:textAlignment w:val="baseline"/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Разработка и реализация паспортов обеспечения транспортной безопасности объектов транспортной инфраструктуры (в отношении объектов транспортной инфраструктуры, не подлежащих категорированию) и паспортов обеспечения транспортной безопасности транспортных средств.</w:t>
      </w:r>
    </w:p>
    <w:p w14:paraId="1B1313E7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both"/>
        <w:rPr>
          <w:rFonts w:ascii="Arial" w:hAnsi="Arial" w:eastAsia="Arial" w:cs="Arial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Arial" w:hAnsi="Arial" w:eastAsia="Arial" w:cs="Arial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Разработка паспортов обеспечения транспортной безопасности объектов транспортной инфраструктуры</w:t>
      </w:r>
      <w:r>
        <w:rPr>
          <w:rFonts w:hint="default" w:ascii="Arial" w:hAnsi="Arial" w:eastAsia="Arial" w:cs="Arial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регулируется, в частности, Федеральным законом «О транспортной безопасности» и постановлением Правительства РФ от 10.12.2020 №2070. </w:t>
      </w:r>
    </w:p>
    <w:p w14:paraId="36976FB6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both"/>
        <w:rPr>
          <w:rFonts w:hint="default" w:ascii="Arial" w:hAnsi="Arial" w:eastAsia="Arial" w:cs="Arial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Arial" w:hAnsi="Arial" w:eastAsia="Arial" w:cs="Arial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Некоторые аспекты разработки:</w:t>
      </w:r>
    </w:p>
    <w:p w14:paraId="71881BD7">
      <w:pPr>
        <w:keepNext w:val="0"/>
        <w:keepLines w:val="0"/>
        <w:widowControl/>
        <w:numPr>
          <w:ilvl w:val="0"/>
          <w:numId w:val="9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Обследование объекта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 Перед началом разработки паспорта субъект транспортной инфраструктуры проводит обследование объекта и изучает реализуемые на нём меры от угроз совершения актов незаконного вмешательства. Результаты обследования и изучения являются приложением к паспорту. </w:t>
      </w:r>
    </w:p>
    <w:p w14:paraId="3F2AE911">
      <w:pPr>
        <w:keepNext w:val="0"/>
        <w:keepLines w:val="0"/>
        <w:widowControl/>
        <w:numPr>
          <w:ilvl w:val="0"/>
          <w:numId w:val="9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Разработка и утверждение паспорта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 Паспорт разрабатывается в соответствии с положениями частей 1.3 и 1.4 статьи 9 Федерального закона «О транспортной безопасности» по типовой форме.</w:t>
      </w:r>
    </w:p>
    <w:p w14:paraId="7352F816">
      <w:pPr>
        <w:keepNext w:val="0"/>
        <w:keepLines w:val="0"/>
        <w:widowControl/>
        <w:numPr>
          <w:ilvl w:val="0"/>
          <w:numId w:val="9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Разработка организационно-распорядительных документов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 Они также являются приложением к паспорту объекта транспортной инфраструктуры. </w:t>
      </w:r>
    </w:p>
    <w:p w14:paraId="08FDA742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both"/>
        <w:rPr>
          <w:rFonts w:hint="default" w:ascii="Arial" w:hAnsi="Arial" w:eastAsia="Arial" w:cs="Arial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default" w:ascii="Arial" w:hAnsi="Arial" w:eastAsia="Arial" w:cs="Arial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Некоторые аспекты реализации:</w:t>
      </w:r>
    </w:p>
    <w:p w14:paraId="0AC939A6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Направление паспорта в компетентный орган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 Два экземпляра утверждённого паспорта и его электронная копия в течение семи дней направляются субъектом транспортной инфраструктуры в компетентный орган в области обеспечения транспортной безопасности. </w:t>
      </w:r>
    </w:p>
    <w:p w14:paraId="19DC9C93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Возврат первого экземпляра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 Первый экземпляр утверждённого паспорта с отметкой о получении подлежит возврату субъекту транспортной инфраструктуры в течение десяти дней с даты его поступления в компетентный орган. </w:t>
      </w:r>
    </w:p>
    <w:p w14:paraId="1B91A85A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Внесение изменений в паспорт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 При изменении положений, регламентирующих меры по защите объекта транспортной инфраструктуры от актов незаконного вмешательства, в паспорт вносятся изменения, он переутверждается и направляется в компетентный орган в течение одного месяца со дня возникновения таких изменений. </w:t>
      </w:r>
    </w:p>
    <w:p w14:paraId="1FDE1542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Аннулирование паспорта при переходе права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 При переходе права собственности на объект транспортной инфраструктуры или переходе права его использования на ином законном основании ранее утверждённый паспорт аннулируется, а в компетентный орган направляется информация об аннулировании с указанием причин. </w:t>
      </w:r>
    </w:p>
    <w:p w14:paraId="75AF9858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leftChars="0" w:right="0" w:rightChars="0" w:firstLine="0" w:firstLineChars="0"/>
        <w:jc w:val="both"/>
        <w:textAlignment w:val="baseline"/>
        <w:rPr>
          <w:rFonts w:hint="default" w:ascii="Segoe Print" w:hAnsi="Segoe Print" w:eastAsia="Times New Roman" w:cs="Segoe Print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Разработка и реализация программ обеспечения транспортной безопасности эксплуатантов (транспортных средств).</w:t>
      </w:r>
    </w:p>
    <w:p w14:paraId="2D6B91CD"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leftChars="0" w:right="0" w:rightChars="0" w:firstLine="0" w:firstLineChars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r>
        <w:rPr>
          <w:rStyle w:val="6"/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Разработка и реализация программ обеспечения транспортной безопасности эксплуатантов (транспортных средств)</w:t>
      </w: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входят в перечень работ, связанных с обеспечением транспортной безопасности, утверждённый</w:t>
      </w: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Segoe Print" w:hAnsi="Segoe Print" w:eastAsia="Arial" w:cs="Segoe Print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постановлением Правительства РФ от 18.09.2023 №1518. </w:t>
      </w:r>
      <w:r>
        <w:rPr>
          <w:rFonts w:hint="default" w:ascii="Segoe Print" w:hAnsi="Segoe Print" w:eastAsia="Arial" w:cs="Segoe Print"/>
          <w:caps w:val="0"/>
          <w:spacing w:val="0"/>
          <w:sz w:val="24"/>
          <w:szCs w:val="24"/>
          <w:u w:val="none"/>
        </w:rPr>
        <w:fldChar w:fldCharType="begin"/>
      </w:r>
      <w:r>
        <w:rPr>
          <w:rFonts w:hint="default" w:ascii="Segoe Print" w:hAnsi="Segoe Print" w:eastAsia="Arial" w:cs="Segoe Print"/>
          <w:caps w:val="0"/>
          <w:spacing w:val="0"/>
          <w:sz w:val="24"/>
          <w:szCs w:val="24"/>
          <w:u w:val="none"/>
        </w:rPr>
        <w:instrText xml:space="preserve"> HYPERLINK "http://government.ru/docs/all/149582/" \t "https://yandex.ru/search/_blank" </w:instrText>
      </w:r>
      <w:r>
        <w:rPr>
          <w:rFonts w:hint="default" w:ascii="Segoe Print" w:hAnsi="Segoe Print" w:eastAsia="Arial" w:cs="Segoe Print"/>
          <w:caps w:val="0"/>
          <w:spacing w:val="0"/>
          <w:sz w:val="24"/>
          <w:szCs w:val="24"/>
          <w:u w:val="none"/>
        </w:rPr>
        <w:fldChar w:fldCharType="separate"/>
      </w:r>
      <w:r>
        <w:rPr>
          <w:rStyle w:val="5"/>
          <w:rFonts w:hint="default" w:ascii="Segoe Print" w:hAnsi="Segoe Print" w:eastAsia="Arial" w:cs="Segoe Print"/>
          <w:caps w:val="0"/>
          <w:spacing w:val="0"/>
          <w:sz w:val="24"/>
          <w:szCs w:val="24"/>
          <w:u w:val="none"/>
        </w:rPr>
        <w:br w:type="textWrapping"/>
      </w:r>
      <w:r>
        <w:rPr>
          <w:rFonts w:hint="default" w:ascii="Segoe Print" w:hAnsi="Segoe Print" w:eastAsia="Arial" w:cs="Segoe Print"/>
          <w:caps w:val="0"/>
          <w:spacing w:val="0"/>
          <w:sz w:val="24"/>
          <w:szCs w:val="24"/>
          <w:u w:val="none"/>
        </w:rPr>
        <w:fldChar w:fldCharType="end"/>
      </w:r>
    </w:p>
    <w:p w14:paraId="4EDAD2E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</w:p>
    <w:p w14:paraId="70CF2CB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bookmarkStart w:id="4" w:name="_GoBack"/>
      <w:bookmarkEnd w:id="4"/>
    </w:p>
    <w:p w14:paraId="2321FBF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  <w:r>
        <w:drawing>
          <wp:inline distT="0" distB="0" distL="114300" distR="114300">
            <wp:extent cx="6390640" cy="3429000"/>
            <wp:effectExtent l="0" t="0" r="10160" b="0"/>
            <wp:docPr id="8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4187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</w:p>
    <w:p w14:paraId="038FF01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</w:p>
    <w:p w14:paraId="6775653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</w:p>
    <w:p w14:paraId="1A2C48D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</w:pPr>
    </w:p>
    <w:p w14:paraId="05A0EED1">
      <w:pPr>
        <w:jc w:val="both"/>
      </w:pPr>
      <w:r>
        <w:drawing>
          <wp:inline distT="0" distB="0" distL="114300" distR="114300">
            <wp:extent cx="6382385" cy="3429000"/>
            <wp:effectExtent l="0" t="0" r="1841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23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A238F">
      <w:pPr>
        <w:jc w:val="both"/>
      </w:pPr>
    </w:p>
    <w:p w14:paraId="7A809BF6">
      <w:pPr>
        <w:jc w:val="both"/>
      </w:pPr>
    </w:p>
    <w:p w14:paraId="0F9D2754">
      <w:pPr>
        <w:jc w:val="both"/>
      </w:pPr>
    </w:p>
    <w:p w14:paraId="27B3CF8A">
      <w:pPr>
        <w:jc w:val="both"/>
      </w:pPr>
    </w:p>
    <w:p w14:paraId="196E1874">
      <w:pPr>
        <w:jc w:val="both"/>
      </w:pPr>
    </w:p>
    <w:p w14:paraId="1B8ACCA5">
      <w:pPr>
        <w:jc w:val="both"/>
      </w:pPr>
    </w:p>
    <w:p w14:paraId="4E667E73">
      <w:pPr>
        <w:jc w:val="both"/>
      </w:pPr>
    </w:p>
    <w:p w14:paraId="1FCD70B7">
      <w:pPr>
        <w:jc w:val="both"/>
      </w:pPr>
    </w:p>
    <w:p w14:paraId="4EEDFBED">
      <w:pPr>
        <w:jc w:val="both"/>
      </w:pPr>
      <w:r>
        <w:drawing>
          <wp:inline distT="0" distB="0" distL="114300" distR="114300">
            <wp:extent cx="6536055" cy="3429000"/>
            <wp:effectExtent l="0" t="0" r="17145" b="0"/>
            <wp:docPr id="11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4F059">
      <w:pPr>
        <w:jc w:val="both"/>
      </w:pPr>
    </w:p>
    <w:p w14:paraId="4F071C2D">
      <w:pPr>
        <w:jc w:val="both"/>
      </w:pPr>
    </w:p>
    <w:p w14:paraId="074939E9">
      <w:pPr>
        <w:jc w:val="both"/>
      </w:pPr>
    </w:p>
    <w:p w14:paraId="1312960C">
      <w:pPr>
        <w:jc w:val="both"/>
      </w:pPr>
    </w:p>
    <w:p w14:paraId="75D8E588">
      <w:pPr>
        <w:jc w:val="both"/>
      </w:pPr>
    </w:p>
    <w:p w14:paraId="18F0CCD8">
      <w:pPr>
        <w:jc w:val="both"/>
      </w:pPr>
    </w:p>
    <w:p w14:paraId="5AC48FF1">
      <w:pPr>
        <w:jc w:val="both"/>
      </w:pPr>
    </w:p>
    <w:p w14:paraId="40DE6B05">
      <w:pPr>
        <w:jc w:val="both"/>
      </w:pPr>
    </w:p>
    <w:p w14:paraId="23399DAB">
      <w:pPr>
        <w:jc w:val="both"/>
      </w:pPr>
    </w:p>
    <w:p w14:paraId="036176CA">
      <w:pPr>
        <w:jc w:val="both"/>
      </w:pPr>
    </w:p>
    <w:p w14:paraId="409C5104">
      <w:pPr>
        <w:jc w:val="both"/>
      </w:pPr>
    </w:p>
    <w:p w14:paraId="55CFA36E">
      <w:pPr>
        <w:jc w:val="both"/>
      </w:pPr>
    </w:p>
    <w:p w14:paraId="2D3E6EC5">
      <w:pPr>
        <w:jc w:val="both"/>
      </w:pPr>
    </w:p>
    <w:p w14:paraId="5DA346FB">
      <w:pPr>
        <w:jc w:val="both"/>
      </w:pPr>
    </w:p>
    <w:p w14:paraId="40336EA6">
      <w:pPr>
        <w:jc w:val="both"/>
      </w:pPr>
    </w:p>
    <w:p w14:paraId="6D059FCD">
      <w:pPr>
        <w:jc w:val="both"/>
      </w:pPr>
    </w:p>
    <w:p w14:paraId="16625C9B">
      <w:pPr>
        <w:jc w:val="both"/>
      </w:pPr>
    </w:p>
    <w:p w14:paraId="1C96A573">
      <w:pPr>
        <w:jc w:val="both"/>
      </w:pPr>
    </w:p>
    <w:p w14:paraId="2BA53DE1">
      <w:pPr>
        <w:jc w:val="both"/>
      </w:pPr>
    </w:p>
    <w:p w14:paraId="135DD64F">
      <w:pPr>
        <w:jc w:val="both"/>
      </w:pPr>
    </w:p>
    <w:p w14:paraId="3B2D4694">
      <w:pPr>
        <w:jc w:val="both"/>
      </w:pPr>
    </w:p>
    <w:p w14:paraId="27B38E1E">
      <w:pPr>
        <w:jc w:val="both"/>
      </w:pPr>
    </w:p>
    <w:p w14:paraId="77ABE3DF">
      <w:pPr>
        <w:jc w:val="both"/>
      </w:pPr>
    </w:p>
    <w:p w14:paraId="4D8AF840">
      <w:pPr>
        <w:jc w:val="both"/>
      </w:pPr>
    </w:p>
    <w:p w14:paraId="0674808D">
      <w:pPr>
        <w:jc w:val="both"/>
      </w:pPr>
    </w:p>
    <w:p w14:paraId="7EAD93C4">
      <w:pPr>
        <w:jc w:val="both"/>
      </w:pPr>
    </w:p>
    <w:p w14:paraId="7F8D63F3">
      <w:pPr>
        <w:jc w:val="both"/>
      </w:pPr>
    </w:p>
    <w:p w14:paraId="71B3A97A">
      <w:pPr>
        <w:jc w:val="both"/>
      </w:pPr>
    </w:p>
    <w:p w14:paraId="063385A1">
      <w:pPr>
        <w:jc w:val="both"/>
      </w:pPr>
    </w:p>
    <w:p w14:paraId="7898B21C">
      <w:pPr>
        <w:jc w:val="both"/>
      </w:pPr>
    </w:p>
    <w:p w14:paraId="76393DD2">
      <w:pPr>
        <w:jc w:val="both"/>
      </w:pPr>
    </w:p>
    <w:p w14:paraId="451B4D6F">
      <w:pPr>
        <w:jc w:val="both"/>
      </w:pPr>
    </w:p>
    <w:p w14:paraId="12957F68">
      <w:pPr>
        <w:jc w:val="both"/>
      </w:pPr>
    </w:p>
    <w:p w14:paraId="46A35D73">
      <w:pPr>
        <w:jc w:val="both"/>
      </w:pPr>
    </w:p>
    <w:p w14:paraId="2DA912BD">
      <w:pPr>
        <w:jc w:val="both"/>
      </w:pPr>
    </w:p>
    <w:p w14:paraId="755CB92F">
      <w:pPr>
        <w:jc w:val="both"/>
      </w:pPr>
    </w:p>
    <w:p w14:paraId="68525909">
      <w:pPr>
        <w:jc w:val="both"/>
      </w:pPr>
    </w:p>
    <w:p w14:paraId="1053AF18">
      <w:pPr>
        <w:jc w:val="both"/>
      </w:pPr>
    </w:p>
    <w:p w14:paraId="113F3F4E">
      <w:pPr>
        <w:jc w:val="both"/>
      </w:pPr>
    </w:p>
    <w:p w14:paraId="726D076B">
      <w:pPr>
        <w:jc w:val="both"/>
      </w:pPr>
    </w:p>
    <w:p w14:paraId="0BBE5652">
      <w:pPr>
        <w:jc w:val="both"/>
      </w:pPr>
    </w:p>
    <w:p w14:paraId="5127562C">
      <w:pPr>
        <w:jc w:val="both"/>
      </w:pPr>
      <w:r>
        <w:drawing>
          <wp:inline distT="0" distB="0" distL="114300" distR="114300">
            <wp:extent cx="6583680" cy="4088130"/>
            <wp:effectExtent l="0" t="0" r="7620" b="7620"/>
            <wp:docPr id="9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40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EEADD">
      <w:pPr>
        <w:jc w:val="both"/>
      </w:pPr>
    </w:p>
    <w:p w14:paraId="23291D67">
      <w:pPr>
        <w:jc w:val="both"/>
      </w:pPr>
    </w:p>
    <w:p w14:paraId="4B795DF8">
      <w:pPr>
        <w:jc w:val="both"/>
      </w:pPr>
    </w:p>
    <w:p w14:paraId="55B5FF3C">
      <w:pPr>
        <w:jc w:val="both"/>
      </w:pPr>
    </w:p>
    <w:p w14:paraId="02C8ABA2">
      <w:pPr>
        <w:jc w:val="both"/>
      </w:pPr>
      <w:r>
        <w:drawing>
          <wp:inline distT="0" distB="0" distL="114300" distR="114300">
            <wp:extent cx="6401435" cy="4199890"/>
            <wp:effectExtent l="0" t="0" r="18415" b="10160"/>
            <wp:docPr id="10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143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61D40">
      <w:pPr>
        <w:jc w:val="both"/>
      </w:pPr>
    </w:p>
    <w:p w14:paraId="282CE9F4">
      <w:pPr>
        <w:jc w:val="both"/>
      </w:pPr>
    </w:p>
    <w:p w14:paraId="24CFE1C2">
      <w:pPr>
        <w:jc w:val="both"/>
      </w:pPr>
    </w:p>
    <w:p w14:paraId="49A39139">
      <w:pPr>
        <w:jc w:val="both"/>
      </w:pPr>
    </w:p>
    <w:p w14:paraId="1568BCB6">
      <w:pPr>
        <w:jc w:val="both"/>
      </w:pPr>
    </w:p>
    <w:p w14:paraId="27FA2CD2">
      <w:pPr>
        <w:jc w:val="both"/>
      </w:pPr>
    </w:p>
    <w:p w14:paraId="58E12C0E">
      <w:pPr>
        <w:jc w:val="both"/>
      </w:pPr>
    </w:p>
    <w:p w14:paraId="78D1C435">
      <w:pPr>
        <w:jc w:val="both"/>
      </w:pPr>
    </w:p>
    <w:p w14:paraId="08D6CE95">
      <w:pPr>
        <w:jc w:val="both"/>
      </w:pPr>
      <w:r>
        <w:drawing>
          <wp:inline distT="0" distB="0" distL="114300" distR="114300">
            <wp:extent cx="6086475" cy="4966335"/>
            <wp:effectExtent l="0" t="0" r="9525" b="571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496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C35FC">
      <w:pPr>
        <w:jc w:val="both"/>
      </w:pPr>
    </w:p>
    <w:p w14:paraId="4DC00197">
      <w:pPr>
        <w:jc w:val="both"/>
      </w:pPr>
    </w:p>
    <w:p w14:paraId="728508E1">
      <w:pPr>
        <w:jc w:val="both"/>
      </w:pPr>
    </w:p>
    <w:p w14:paraId="2D02EE9C">
      <w:pPr>
        <w:jc w:val="both"/>
      </w:pPr>
    </w:p>
    <w:p w14:paraId="7318039D">
      <w:pPr>
        <w:jc w:val="both"/>
      </w:pPr>
    </w:p>
    <w:p w14:paraId="507D6D7C">
      <w:pPr>
        <w:jc w:val="both"/>
      </w:pPr>
    </w:p>
    <w:p w14:paraId="3D1B65AA">
      <w:pPr>
        <w:jc w:val="both"/>
      </w:pPr>
    </w:p>
    <w:p w14:paraId="38ED75CD">
      <w:pPr>
        <w:jc w:val="both"/>
      </w:pPr>
    </w:p>
    <w:p w14:paraId="57D9B392">
      <w:pPr>
        <w:jc w:val="both"/>
      </w:pPr>
    </w:p>
    <w:p w14:paraId="3C3FFBCA">
      <w:pPr>
        <w:jc w:val="both"/>
      </w:pPr>
    </w:p>
    <w:p w14:paraId="20817857">
      <w:pPr>
        <w:jc w:val="both"/>
      </w:pPr>
    </w:p>
    <w:p w14:paraId="782B74C5">
      <w:pPr>
        <w:jc w:val="both"/>
      </w:pPr>
    </w:p>
    <w:p w14:paraId="4370C92F">
      <w:pPr>
        <w:jc w:val="both"/>
      </w:pPr>
    </w:p>
    <w:p w14:paraId="7DFC5D8C">
      <w:pPr>
        <w:jc w:val="both"/>
      </w:pPr>
    </w:p>
    <w:p w14:paraId="16CBC78C">
      <w:pPr>
        <w:jc w:val="both"/>
      </w:pPr>
    </w:p>
    <w:p w14:paraId="5DC3E0BF">
      <w:pPr>
        <w:jc w:val="both"/>
      </w:pPr>
    </w:p>
    <w:p w14:paraId="3B73D0FC">
      <w:pPr>
        <w:jc w:val="both"/>
      </w:pPr>
    </w:p>
    <w:p w14:paraId="40D622D1">
      <w:pPr>
        <w:jc w:val="both"/>
      </w:pPr>
    </w:p>
    <w:p w14:paraId="528E9996">
      <w:pPr>
        <w:jc w:val="both"/>
      </w:pPr>
    </w:p>
    <w:p w14:paraId="7D85247F">
      <w:pPr>
        <w:jc w:val="both"/>
      </w:pPr>
    </w:p>
    <w:p w14:paraId="77683967">
      <w:pPr>
        <w:jc w:val="both"/>
      </w:pPr>
    </w:p>
    <w:p w14:paraId="6C7E8559">
      <w:pPr>
        <w:jc w:val="both"/>
      </w:pPr>
    </w:p>
    <w:p w14:paraId="36C4302D">
      <w:pPr>
        <w:jc w:val="both"/>
      </w:pPr>
    </w:p>
    <w:p w14:paraId="542EB2F1">
      <w:pPr>
        <w:jc w:val="both"/>
      </w:pPr>
    </w:p>
    <w:p w14:paraId="09A0DE2B">
      <w:pPr>
        <w:jc w:val="both"/>
      </w:pPr>
    </w:p>
    <w:p w14:paraId="318816AF">
      <w:pPr>
        <w:jc w:val="both"/>
      </w:pPr>
    </w:p>
    <w:p w14:paraId="67F59929">
      <w:pPr>
        <w:jc w:val="both"/>
      </w:pPr>
    </w:p>
    <w:p w14:paraId="0693A659">
      <w:pPr>
        <w:jc w:val="both"/>
      </w:pPr>
    </w:p>
    <w:p w14:paraId="3287362F">
      <w:pPr>
        <w:jc w:val="both"/>
      </w:pPr>
    </w:p>
    <w:p w14:paraId="20E77465">
      <w:pPr>
        <w:jc w:val="both"/>
      </w:pPr>
    </w:p>
    <w:p w14:paraId="14D1D1CE">
      <w:pPr>
        <w:jc w:val="both"/>
      </w:pPr>
    </w:p>
    <w:p w14:paraId="33AF6044">
      <w:pPr>
        <w:jc w:val="both"/>
      </w:pPr>
    </w:p>
    <w:p w14:paraId="38ACC3B1">
      <w:pPr>
        <w:jc w:val="both"/>
      </w:pPr>
    </w:p>
    <w:p w14:paraId="2334B43E">
      <w:pPr>
        <w:jc w:val="both"/>
      </w:pPr>
    </w:p>
    <w:p w14:paraId="34C803E7">
      <w:pPr>
        <w:jc w:val="both"/>
      </w:pPr>
      <w:r>
        <w:drawing>
          <wp:inline distT="0" distB="0" distL="114300" distR="114300">
            <wp:extent cx="6096000" cy="3429000"/>
            <wp:effectExtent l="0" t="0" r="0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8E030">
      <w:pPr>
        <w:jc w:val="both"/>
      </w:pPr>
    </w:p>
    <w:p w14:paraId="29B7851B">
      <w:pPr>
        <w:jc w:val="both"/>
      </w:pPr>
    </w:p>
    <w:p w14:paraId="7ABF7205">
      <w:pPr>
        <w:jc w:val="both"/>
      </w:pPr>
    </w:p>
    <w:p w14:paraId="50FC5E82">
      <w:pPr>
        <w:jc w:val="both"/>
      </w:pPr>
    </w:p>
    <w:p w14:paraId="2A17A936">
      <w:pPr>
        <w:jc w:val="both"/>
      </w:pPr>
    </w:p>
    <w:p w14:paraId="18A73278">
      <w:pPr>
        <w:jc w:val="both"/>
      </w:pPr>
    </w:p>
    <w:p w14:paraId="66B52462">
      <w:pPr>
        <w:jc w:val="both"/>
      </w:pPr>
    </w:p>
    <w:p w14:paraId="311605C4">
      <w:pPr>
        <w:jc w:val="both"/>
      </w:pPr>
      <w:r>
        <w:drawing>
          <wp:inline distT="0" distB="0" distL="114300" distR="114300">
            <wp:extent cx="6096000" cy="3429000"/>
            <wp:effectExtent l="0" t="0" r="0" b="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9BF98">
      <w:pPr>
        <w:jc w:val="both"/>
      </w:pPr>
    </w:p>
    <w:p w14:paraId="2B08AFC2">
      <w:pPr>
        <w:jc w:val="both"/>
      </w:pPr>
    </w:p>
    <w:p w14:paraId="2A42578B">
      <w:pPr>
        <w:jc w:val="both"/>
      </w:pPr>
    </w:p>
    <w:p w14:paraId="2B0529D6">
      <w:pPr>
        <w:jc w:val="both"/>
      </w:pPr>
    </w:p>
    <w:p w14:paraId="767F25EA">
      <w:pPr>
        <w:jc w:val="both"/>
      </w:pPr>
    </w:p>
    <w:p w14:paraId="4B99803F">
      <w:pPr>
        <w:jc w:val="both"/>
      </w:pPr>
    </w:p>
    <w:p w14:paraId="4BD0C9BF">
      <w:pPr>
        <w:jc w:val="both"/>
      </w:pPr>
    </w:p>
    <w:p w14:paraId="73108F2C">
      <w:pPr>
        <w:jc w:val="both"/>
      </w:pPr>
    </w:p>
    <w:p w14:paraId="5B659274">
      <w:pPr>
        <w:jc w:val="both"/>
      </w:pPr>
    </w:p>
    <w:p w14:paraId="3DCFB8F6">
      <w:pPr>
        <w:jc w:val="both"/>
      </w:pPr>
    </w:p>
    <w:p w14:paraId="08C812F0">
      <w:pPr>
        <w:jc w:val="both"/>
      </w:pPr>
    </w:p>
    <w:p w14:paraId="75D98B8A">
      <w:pPr>
        <w:jc w:val="both"/>
      </w:pPr>
    </w:p>
    <w:p w14:paraId="6C098AD3">
      <w:pPr>
        <w:jc w:val="both"/>
      </w:pPr>
      <w:r>
        <w:drawing>
          <wp:inline distT="0" distB="0" distL="114300" distR="114300">
            <wp:extent cx="6096000" cy="3429000"/>
            <wp:effectExtent l="0" t="0" r="0" b="0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C32B">
      <w:pPr>
        <w:jc w:val="both"/>
      </w:pPr>
    </w:p>
    <w:p w14:paraId="52B14AE0">
      <w:pPr>
        <w:jc w:val="both"/>
      </w:pPr>
    </w:p>
    <w:p w14:paraId="1C4D2177">
      <w:pPr>
        <w:jc w:val="both"/>
      </w:pPr>
    </w:p>
    <w:p w14:paraId="54DFC038">
      <w:pPr>
        <w:jc w:val="both"/>
      </w:pPr>
    </w:p>
    <w:p w14:paraId="5DFF274F">
      <w:pPr>
        <w:jc w:val="both"/>
      </w:pPr>
    </w:p>
    <w:p w14:paraId="4E6F1259">
      <w:pPr>
        <w:jc w:val="both"/>
      </w:pPr>
    </w:p>
    <w:p w14:paraId="6B16A506">
      <w:pPr>
        <w:jc w:val="both"/>
      </w:pPr>
    </w:p>
    <w:p w14:paraId="2A831A7C">
      <w:pPr>
        <w:jc w:val="both"/>
      </w:pPr>
    </w:p>
    <w:p w14:paraId="6C3AD70F">
      <w:pPr>
        <w:jc w:val="both"/>
      </w:pPr>
      <w:r>
        <w:drawing>
          <wp:inline distT="0" distB="0" distL="114300" distR="114300">
            <wp:extent cx="6096000" cy="3429000"/>
            <wp:effectExtent l="0" t="0" r="0" b="0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16DAF">
      <w:pPr>
        <w:jc w:val="both"/>
      </w:pPr>
    </w:p>
    <w:p w14:paraId="18100FE3">
      <w:pPr>
        <w:jc w:val="both"/>
      </w:pPr>
      <w:r>
        <w:drawing>
          <wp:inline distT="0" distB="0" distL="114300" distR="114300">
            <wp:extent cx="6096000" cy="3429000"/>
            <wp:effectExtent l="0" t="0" r="0" b="0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5F986">
      <w:pPr>
        <w:jc w:val="both"/>
      </w:pPr>
    </w:p>
    <w:p w14:paraId="22CFD517">
      <w:pPr>
        <w:jc w:val="both"/>
      </w:pPr>
    </w:p>
    <w:p w14:paraId="4EF71557">
      <w:pPr>
        <w:jc w:val="both"/>
      </w:pPr>
    </w:p>
    <w:p w14:paraId="25271174">
      <w:pPr>
        <w:jc w:val="both"/>
      </w:pPr>
    </w:p>
    <w:p w14:paraId="5F34C611">
      <w:pPr>
        <w:jc w:val="both"/>
      </w:pPr>
    </w:p>
    <w:p w14:paraId="5AB1CF3C">
      <w:pPr>
        <w:jc w:val="both"/>
      </w:pPr>
    </w:p>
    <w:p w14:paraId="74C311B5">
      <w:pPr>
        <w:jc w:val="both"/>
      </w:pPr>
    </w:p>
    <w:p w14:paraId="5780AED2">
      <w:pPr>
        <w:jc w:val="both"/>
      </w:pPr>
    </w:p>
    <w:p w14:paraId="65C64204">
      <w:pPr>
        <w:jc w:val="both"/>
      </w:pPr>
    </w:p>
    <w:p w14:paraId="2C33ECAC">
      <w:pPr>
        <w:jc w:val="both"/>
      </w:pPr>
    </w:p>
    <w:p w14:paraId="03725D03">
      <w:pPr>
        <w:jc w:val="both"/>
      </w:pPr>
    </w:p>
    <w:sectPr>
      <w:pgSz w:w="11906" w:h="16838"/>
      <w:pgMar w:top="590" w:right="612" w:bottom="590" w:left="1179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yriadPro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5870FF"/>
    <w:multiLevelType w:val="singleLevel"/>
    <w:tmpl w:val="C05870FF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B9D3CC4"/>
    <w:multiLevelType w:val="multilevel"/>
    <w:tmpl w:val="DB9D3C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EEB49491"/>
    <w:multiLevelType w:val="multilevel"/>
    <w:tmpl w:val="EEB4949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EFC03418"/>
    <w:multiLevelType w:val="multilevel"/>
    <w:tmpl w:val="EFC034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F05237E8"/>
    <w:multiLevelType w:val="multilevel"/>
    <w:tmpl w:val="F05237E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">
    <w:nsid w:val="0F5D27C7"/>
    <w:multiLevelType w:val="singleLevel"/>
    <w:tmpl w:val="0F5D27C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0F67A537"/>
    <w:multiLevelType w:val="multilevel"/>
    <w:tmpl w:val="0F67A53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">
    <w:nsid w:val="117B325B"/>
    <w:multiLevelType w:val="multilevel"/>
    <w:tmpl w:val="117B32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">
    <w:nsid w:val="14334021"/>
    <w:multiLevelType w:val="multilevel"/>
    <w:tmpl w:val="1433402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">
    <w:nsid w:val="51E0E32D"/>
    <w:multiLevelType w:val="multilevel"/>
    <w:tmpl w:val="51E0E3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F74DE"/>
    <w:rsid w:val="197C4583"/>
    <w:rsid w:val="44B02704"/>
    <w:rsid w:val="5E635B19"/>
    <w:rsid w:val="63726D34"/>
    <w:rsid w:val="75C3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basedOn w:val="1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97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2026-01-22T17:04:00Z</dcterms:created>
  <dc:creator>User</dc:creator>
  <cp:lastModifiedBy>User</cp:lastModifiedBy>
  <dcterms:modified xsi:type="dcterms:W3CDTF">2026-01-25T11:24:55Z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5174DC8F56CA4E65A3C24B828796C53D_12</vt:lpwstr>
  </property>
</Properties>
</file>