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AC" w:rsidRDefault="00E42AAC" w:rsidP="00E42AAC">
      <w:pPr>
        <w:shd w:val="clear" w:color="auto" w:fill="FFFFFF"/>
        <w:spacing w:after="0" w:line="240" w:lineRule="auto"/>
        <w:ind w:right="30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Реле постоянного тока.</w:t>
      </w:r>
      <w:r w:rsidRPr="002E17F6">
        <w:rPr>
          <w:rFonts w:ascii="Times New Roman" w:hAnsi="Times New Roman" w:cs="Times New Roman"/>
          <w:b/>
          <w:sz w:val="28"/>
          <w:szCs w:val="28"/>
        </w:rPr>
        <w:t>Поляризованные реле</w:t>
      </w:r>
    </w:p>
    <w:p w:rsidR="00E42AAC" w:rsidRPr="002E17F6" w:rsidRDefault="00E42AAC" w:rsidP="00E42AAC">
      <w:pPr>
        <w:shd w:val="clear" w:color="auto" w:fill="FFFFFF"/>
        <w:spacing w:after="0" w:line="240" w:lineRule="auto"/>
        <w:ind w:left="300" w:right="30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AAC" w:rsidRPr="006169C5" w:rsidRDefault="00E42AAC" w:rsidP="00E42AAC">
      <w:pPr>
        <w:shd w:val="clear" w:color="auto" w:fill="FFFFFF"/>
        <w:spacing w:after="0" w:line="240" w:lineRule="auto"/>
        <w:ind w:left="5" w:right="10" w:firstLine="709"/>
        <w:jc w:val="both"/>
        <w:rPr>
          <w:rFonts w:ascii="Times New Roman" w:hAnsi="Times New Roman" w:cs="Times New Roman"/>
        </w:rPr>
      </w:pPr>
      <w:proofErr w:type="gramStart"/>
      <w:r w:rsidRPr="006169C5">
        <w:rPr>
          <w:rFonts w:ascii="Times New Roman" w:hAnsi="Times New Roman" w:cs="Times New Roman"/>
          <w:b/>
        </w:rPr>
        <w:t>Поляризованные реле</w:t>
      </w:r>
      <w:r w:rsidRPr="006169C5">
        <w:rPr>
          <w:rFonts w:ascii="Times New Roman" w:hAnsi="Times New Roman" w:cs="Times New Roman"/>
        </w:rPr>
        <w:t xml:space="preserve"> отличаются от нейтральных наличием в магнитной системе постоянного магнита.</w:t>
      </w:r>
      <w:proofErr w:type="gramEnd"/>
      <w:r w:rsidRPr="006169C5">
        <w:rPr>
          <w:rFonts w:ascii="Times New Roman" w:hAnsi="Times New Roman" w:cs="Times New Roman"/>
        </w:rPr>
        <w:t xml:space="preserve"> Они имеют поляризо</w:t>
      </w:r>
      <w:r w:rsidRPr="006169C5">
        <w:rPr>
          <w:rFonts w:ascii="Times New Roman" w:hAnsi="Times New Roman" w:cs="Times New Roman"/>
        </w:rPr>
        <w:softHyphen/>
        <w:t>ванный якорь, который переключается из одного (нормального) положения в другое (переведенное) в зависимости от направле</w:t>
      </w:r>
      <w:r w:rsidRPr="006169C5">
        <w:rPr>
          <w:rFonts w:ascii="Times New Roman" w:hAnsi="Times New Roman" w:cs="Times New Roman"/>
        </w:rPr>
        <w:softHyphen/>
        <w:t xml:space="preserve">ния (полярности) тока, протекающего по обмоткам катушек. По надежности действия они не отвечают требованиям реле </w:t>
      </w:r>
      <w:r w:rsidRPr="006169C5">
        <w:rPr>
          <w:rFonts w:ascii="Times New Roman" w:hAnsi="Times New Roman" w:cs="Times New Roman"/>
          <w:lang w:val="en-US"/>
        </w:rPr>
        <w:t>I</w:t>
      </w:r>
      <w:r w:rsidRPr="006169C5">
        <w:rPr>
          <w:rFonts w:ascii="Times New Roman" w:hAnsi="Times New Roman" w:cs="Times New Roman"/>
        </w:rPr>
        <w:t xml:space="preserve"> клас</w:t>
      </w:r>
      <w:r w:rsidRPr="006169C5">
        <w:rPr>
          <w:rFonts w:ascii="Times New Roman" w:hAnsi="Times New Roman" w:cs="Times New Roman"/>
        </w:rPr>
        <w:softHyphen/>
        <w:t>са, поэтому при использовании в ответственных схемах правиль</w:t>
      </w:r>
      <w:r w:rsidRPr="006169C5">
        <w:rPr>
          <w:rFonts w:ascii="Times New Roman" w:hAnsi="Times New Roman" w:cs="Times New Roman"/>
        </w:rPr>
        <w:softHyphen/>
        <w:t>ность их работы проверяется схемным способом.</w:t>
      </w:r>
    </w:p>
    <w:p w:rsidR="00E42AAC" w:rsidRPr="006169C5" w:rsidRDefault="00E42AAC" w:rsidP="00E42AAC">
      <w:pPr>
        <w:shd w:val="clear" w:color="auto" w:fill="FFFFFF"/>
        <w:spacing w:after="0" w:line="240" w:lineRule="auto"/>
        <w:ind w:left="5" w:right="10" w:firstLine="709"/>
        <w:jc w:val="both"/>
        <w:rPr>
          <w:rFonts w:ascii="Times New Roman" w:hAnsi="Times New Roman" w:cs="Times New Roman"/>
        </w:rPr>
      </w:pPr>
    </w:p>
    <w:p w:rsidR="00E42AAC" w:rsidRPr="006169C5" w:rsidRDefault="00E42AAC" w:rsidP="00E42AAC">
      <w:pPr>
        <w:shd w:val="clear" w:color="auto" w:fill="FFFFFF"/>
        <w:spacing w:after="0" w:line="240" w:lineRule="auto"/>
        <w:ind w:left="5" w:right="1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87344" cy="2940711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039" t="38219" r="27247" b="9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344" cy="294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AAC" w:rsidRDefault="00E42AAC" w:rsidP="00E42AAC">
      <w:pPr>
        <w:shd w:val="clear" w:color="auto" w:fill="FFFFFF"/>
        <w:spacing w:after="0" w:line="240" w:lineRule="auto"/>
        <w:ind w:right="14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Рис.1.1 – Конструкция поляризованного реле. Общий вид.</w:t>
      </w:r>
    </w:p>
    <w:p w:rsidR="00E42AAC" w:rsidRDefault="00E42AAC" w:rsidP="00E42AAC">
      <w:pPr>
        <w:shd w:val="clear" w:color="auto" w:fill="FFFFFF"/>
        <w:spacing w:after="0" w:line="240" w:lineRule="auto"/>
        <w:ind w:right="14" w:firstLine="709"/>
        <w:jc w:val="center"/>
        <w:rPr>
          <w:rFonts w:ascii="Times New Roman" w:hAnsi="Times New Roman" w:cs="Times New Roman"/>
        </w:rPr>
      </w:pPr>
    </w:p>
    <w:p w:rsidR="00E42AAC" w:rsidRPr="009D0BCC" w:rsidRDefault="00E42AAC" w:rsidP="00E42AAC">
      <w:pPr>
        <w:ind w:firstLine="709"/>
        <w:rPr>
          <w:rFonts w:ascii="Times New Roman" w:hAnsi="Times New Roman" w:cs="Times New Roman"/>
        </w:rPr>
      </w:pPr>
      <w:r w:rsidRPr="009D0BCC">
        <w:rPr>
          <w:rFonts w:ascii="Times New Roman" w:hAnsi="Times New Roman" w:cs="Times New Roman"/>
        </w:rPr>
        <w:t>В табл. 1.2 приведено схематическое обозначение обмоток и контактов поляризованных реле. Для примера рассмотрено реле РП типа</w:t>
      </w:r>
      <w:r>
        <w:rPr>
          <w:rFonts w:ascii="Times New Roman" w:hAnsi="Times New Roman" w:cs="Times New Roman"/>
        </w:rPr>
        <w:t xml:space="preserve"> </w:t>
      </w:r>
      <w:r w:rsidRPr="009D0BCC">
        <w:rPr>
          <w:rFonts w:ascii="Times New Roman" w:hAnsi="Times New Roman" w:cs="Times New Roman"/>
        </w:rPr>
        <w:t>ПМШ-1400.</w:t>
      </w:r>
    </w:p>
    <w:p w:rsidR="00E42AAC" w:rsidRDefault="00E42AAC" w:rsidP="00E42AAC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</w:rPr>
      </w:pPr>
      <w:r w:rsidRPr="009D0BCC">
        <w:rPr>
          <w:rFonts w:ascii="Times New Roman" w:hAnsi="Times New Roman" w:cs="Times New Roman"/>
        </w:rPr>
        <w:drawing>
          <wp:inline distT="0" distB="0" distL="0" distR="0">
            <wp:extent cx="5940425" cy="2434708"/>
            <wp:effectExtent l="19050" t="0" r="3175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886" t="48026" r="18101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AAC" w:rsidRPr="006169C5" w:rsidRDefault="00E42AAC" w:rsidP="00E42AAC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 w:rsidRPr="006169C5">
        <w:rPr>
          <w:rFonts w:ascii="Times New Roman" w:hAnsi="Times New Roman" w:cs="Times New Roman"/>
        </w:rPr>
        <w:t>Поляризованное малогабаритное пусковое реле ПМПШ-150/150 применяют в схеме включения стрелочного электропривода совместно с реле НМПШЗ-0,2/220. Магнитная система поляри</w:t>
      </w:r>
      <w:r w:rsidRPr="006169C5">
        <w:rPr>
          <w:rFonts w:ascii="Times New Roman" w:hAnsi="Times New Roman" w:cs="Times New Roman"/>
        </w:rPr>
        <w:softHyphen/>
        <w:t xml:space="preserve">зованного реле (рис. </w:t>
      </w:r>
      <w:r>
        <w:rPr>
          <w:rFonts w:ascii="Times New Roman" w:hAnsi="Times New Roman" w:cs="Times New Roman"/>
        </w:rPr>
        <w:t>1.13</w:t>
      </w:r>
      <w:r w:rsidRPr="006169C5">
        <w:rPr>
          <w:rFonts w:ascii="Times New Roman" w:hAnsi="Times New Roman" w:cs="Times New Roman"/>
        </w:rPr>
        <w:t xml:space="preserve">) состоит из катушек 1, надетых на сердечники </w:t>
      </w:r>
      <w:r w:rsidRPr="006169C5">
        <w:rPr>
          <w:rFonts w:ascii="Times New Roman" w:hAnsi="Times New Roman" w:cs="Times New Roman"/>
          <w:i/>
        </w:rPr>
        <w:t xml:space="preserve">2; </w:t>
      </w:r>
      <w:r w:rsidRPr="006169C5">
        <w:rPr>
          <w:rFonts w:ascii="Times New Roman" w:hAnsi="Times New Roman" w:cs="Times New Roman"/>
        </w:rPr>
        <w:t xml:space="preserve">постоянного магнита </w:t>
      </w:r>
      <w:r w:rsidRPr="006169C5">
        <w:rPr>
          <w:rFonts w:ascii="Times New Roman" w:hAnsi="Times New Roman" w:cs="Times New Roman"/>
          <w:i/>
        </w:rPr>
        <w:t xml:space="preserve">3 </w:t>
      </w:r>
      <w:r w:rsidRPr="006169C5">
        <w:rPr>
          <w:rFonts w:ascii="Times New Roman" w:hAnsi="Times New Roman" w:cs="Times New Roman"/>
        </w:rPr>
        <w:t xml:space="preserve">и поляризованного якоря </w:t>
      </w:r>
      <w:r w:rsidRPr="006169C5">
        <w:rPr>
          <w:rFonts w:ascii="Times New Roman" w:hAnsi="Times New Roman" w:cs="Times New Roman"/>
          <w:i/>
        </w:rPr>
        <w:t xml:space="preserve">4. </w:t>
      </w:r>
      <w:r w:rsidRPr="006169C5">
        <w:rPr>
          <w:rFonts w:ascii="Times New Roman" w:hAnsi="Times New Roman" w:cs="Times New Roman"/>
        </w:rPr>
        <w:t xml:space="preserve">К якорю шарнирно прикреплена изоляционная планка 5, с помощью которой осуществляется переключение контактов. Усиленные контакты </w:t>
      </w:r>
      <w:r w:rsidRPr="006169C5">
        <w:rPr>
          <w:rFonts w:ascii="Times New Roman" w:hAnsi="Times New Roman" w:cs="Times New Roman"/>
          <w:i/>
        </w:rPr>
        <w:t xml:space="preserve">НУ </w:t>
      </w:r>
      <w:r w:rsidRPr="006169C5">
        <w:rPr>
          <w:rFonts w:ascii="Times New Roman" w:hAnsi="Times New Roman" w:cs="Times New Roman"/>
        </w:rPr>
        <w:t>(нормальный усиленный)</w:t>
      </w:r>
      <w:r w:rsidRPr="006169C5">
        <w:rPr>
          <w:rFonts w:ascii="Times New Roman" w:hAnsi="Times New Roman" w:cs="Times New Roman"/>
          <w:i/>
        </w:rPr>
        <w:t xml:space="preserve"> </w:t>
      </w:r>
      <w:r w:rsidRPr="006169C5">
        <w:rPr>
          <w:rFonts w:ascii="Times New Roman" w:hAnsi="Times New Roman" w:cs="Times New Roman"/>
        </w:rPr>
        <w:t xml:space="preserve">и </w:t>
      </w:r>
      <w:r w:rsidRPr="006169C5">
        <w:rPr>
          <w:rFonts w:ascii="Times New Roman" w:hAnsi="Times New Roman" w:cs="Times New Roman"/>
          <w:i/>
        </w:rPr>
        <w:t xml:space="preserve">ПУ </w:t>
      </w:r>
      <w:r w:rsidRPr="006169C5">
        <w:rPr>
          <w:rFonts w:ascii="Times New Roman" w:hAnsi="Times New Roman" w:cs="Times New Roman"/>
        </w:rPr>
        <w:t>(переведенный усиленный)</w:t>
      </w:r>
      <w:r w:rsidRPr="006169C5">
        <w:rPr>
          <w:rFonts w:ascii="Times New Roman" w:hAnsi="Times New Roman" w:cs="Times New Roman"/>
          <w:i/>
        </w:rPr>
        <w:t xml:space="preserve"> </w:t>
      </w:r>
      <w:r w:rsidRPr="006169C5">
        <w:rPr>
          <w:rFonts w:ascii="Times New Roman" w:hAnsi="Times New Roman" w:cs="Times New Roman"/>
        </w:rPr>
        <w:t xml:space="preserve">снабжены магнитами </w:t>
      </w:r>
      <w:proofErr w:type="spellStart"/>
      <w:r w:rsidRPr="006169C5">
        <w:rPr>
          <w:rFonts w:ascii="Times New Roman" w:hAnsi="Times New Roman" w:cs="Times New Roman"/>
        </w:rPr>
        <w:t>дугогашения</w:t>
      </w:r>
      <w:proofErr w:type="spellEnd"/>
      <w:r w:rsidRPr="006169C5">
        <w:rPr>
          <w:rFonts w:ascii="Times New Roman" w:hAnsi="Times New Roman" w:cs="Times New Roman"/>
        </w:rPr>
        <w:t xml:space="preserve"> искры.</w:t>
      </w:r>
    </w:p>
    <w:p w:rsidR="00E42AAC" w:rsidRPr="006169C5" w:rsidRDefault="00E42AAC" w:rsidP="00E42AAC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6169C5">
        <w:rPr>
          <w:rFonts w:ascii="Times New Roman" w:hAnsi="Times New Roman" w:cs="Times New Roman"/>
        </w:rPr>
        <w:t>При отсутствии тока в обмотках якорь остается и удержи</w:t>
      </w:r>
      <w:r w:rsidRPr="006169C5">
        <w:rPr>
          <w:rFonts w:ascii="Times New Roman" w:hAnsi="Times New Roman" w:cs="Times New Roman"/>
        </w:rPr>
        <w:softHyphen/>
        <w:t>вается потоками постоянного магнита в том положении, в кото</w:t>
      </w:r>
      <w:r w:rsidRPr="006169C5">
        <w:rPr>
          <w:rFonts w:ascii="Times New Roman" w:hAnsi="Times New Roman" w:cs="Times New Roman"/>
        </w:rPr>
        <w:softHyphen/>
        <w:t>ром он находился в момент выключения тока. Якорь реле (</w:t>
      </w:r>
      <w:proofErr w:type="gramStart"/>
      <w:r w:rsidRPr="006169C5">
        <w:rPr>
          <w:rFonts w:ascii="Times New Roman" w:hAnsi="Times New Roman" w:cs="Times New Roman"/>
        </w:rPr>
        <w:t>см</w:t>
      </w:r>
      <w:proofErr w:type="gramEnd"/>
      <w:r w:rsidRPr="006169C5">
        <w:rPr>
          <w:rFonts w:ascii="Times New Roman" w:hAnsi="Times New Roman" w:cs="Times New Roman"/>
        </w:rPr>
        <w:t xml:space="preserve">. </w:t>
      </w:r>
      <w:r w:rsidRPr="006169C5">
        <w:rPr>
          <w:rFonts w:ascii="Times New Roman" w:hAnsi="Times New Roman" w:cs="Times New Roman"/>
        </w:rPr>
        <w:lastRenderedPageBreak/>
        <w:t xml:space="preserve">рис. </w:t>
      </w:r>
      <w:r>
        <w:rPr>
          <w:rFonts w:ascii="Times New Roman" w:hAnsi="Times New Roman" w:cs="Times New Roman"/>
        </w:rPr>
        <w:t>1.2</w:t>
      </w:r>
      <w:r w:rsidRPr="006169C5">
        <w:rPr>
          <w:rFonts w:ascii="Times New Roman" w:hAnsi="Times New Roman" w:cs="Times New Roman"/>
        </w:rPr>
        <w:t xml:space="preserve">) показан в нормальном положении. В этом состоянии общие контакты о замкнуты с нормальными контактами </w:t>
      </w:r>
      <w:r w:rsidRPr="006169C5">
        <w:rPr>
          <w:rFonts w:ascii="Times New Roman" w:hAnsi="Times New Roman" w:cs="Times New Roman"/>
          <w:i/>
          <w:iCs/>
        </w:rPr>
        <w:t>Н</w:t>
      </w:r>
      <w:r w:rsidRPr="006169C5">
        <w:rPr>
          <w:rFonts w:ascii="Times New Roman" w:hAnsi="Times New Roman" w:cs="Times New Roman"/>
          <w:i/>
        </w:rPr>
        <w:t xml:space="preserve">. </w:t>
      </w:r>
      <w:r w:rsidRPr="006169C5">
        <w:rPr>
          <w:rFonts w:ascii="Times New Roman" w:hAnsi="Times New Roman" w:cs="Times New Roman"/>
        </w:rPr>
        <w:t>Магнитный поток Ф</w:t>
      </w:r>
      <w:r w:rsidRPr="006169C5">
        <w:rPr>
          <w:rFonts w:ascii="Times New Roman" w:hAnsi="Times New Roman" w:cs="Times New Roman"/>
          <w:vertAlign w:val="subscript"/>
        </w:rPr>
        <w:t>П</w:t>
      </w:r>
      <w:r w:rsidRPr="006169C5">
        <w:rPr>
          <w:rFonts w:ascii="Times New Roman" w:hAnsi="Times New Roman" w:cs="Times New Roman"/>
        </w:rPr>
        <w:t xml:space="preserve"> постоянного магнита </w:t>
      </w:r>
      <w:r w:rsidRPr="006169C5">
        <w:rPr>
          <w:rFonts w:ascii="Times New Roman" w:hAnsi="Times New Roman" w:cs="Times New Roman"/>
          <w:i/>
        </w:rPr>
        <w:t xml:space="preserve">3 </w:t>
      </w:r>
      <w:r w:rsidRPr="006169C5">
        <w:rPr>
          <w:rFonts w:ascii="Times New Roman" w:hAnsi="Times New Roman" w:cs="Times New Roman"/>
        </w:rPr>
        <w:t>разветвляется по двум парал</w:t>
      </w:r>
      <w:r w:rsidRPr="006169C5">
        <w:rPr>
          <w:rFonts w:ascii="Times New Roman" w:hAnsi="Times New Roman" w:cs="Times New Roman"/>
        </w:rPr>
        <w:softHyphen/>
        <w:t>лельным ветвям (как показано сплошными линиями) в виде потоков Ф</w:t>
      </w:r>
      <w:r w:rsidRPr="006169C5">
        <w:rPr>
          <w:rFonts w:ascii="Times New Roman" w:hAnsi="Times New Roman" w:cs="Times New Roman"/>
          <w:vertAlign w:val="subscript"/>
        </w:rPr>
        <w:t>П</w:t>
      </w:r>
      <w:proofErr w:type="gramStart"/>
      <w:r w:rsidRPr="006169C5">
        <w:rPr>
          <w:rFonts w:ascii="Times New Roman" w:hAnsi="Times New Roman" w:cs="Times New Roman"/>
          <w:vertAlign w:val="subscript"/>
        </w:rPr>
        <w:t>1</w:t>
      </w:r>
      <w:proofErr w:type="gramEnd"/>
      <w:r w:rsidRPr="006169C5">
        <w:rPr>
          <w:rFonts w:ascii="Times New Roman" w:hAnsi="Times New Roman" w:cs="Times New Roman"/>
        </w:rPr>
        <w:t xml:space="preserve"> и Ф</w:t>
      </w:r>
      <w:r w:rsidRPr="006169C5">
        <w:rPr>
          <w:rFonts w:ascii="Times New Roman" w:hAnsi="Times New Roman" w:cs="Times New Roman"/>
          <w:vertAlign w:val="subscript"/>
        </w:rPr>
        <w:t>П2</w:t>
      </w:r>
      <w:r w:rsidRPr="006169C5">
        <w:rPr>
          <w:rFonts w:ascii="Times New Roman" w:hAnsi="Times New Roman" w:cs="Times New Roman"/>
        </w:rPr>
        <w:t>. Эти потоки были бы равны, если бы якорь занимал среднее положение. Однако якорь никогда среднего положения не занимает и всегда находится в одном из крайних положений (на рис. 2.4 в ле</w:t>
      </w:r>
      <w:r w:rsidRPr="006169C5">
        <w:rPr>
          <w:rFonts w:ascii="Times New Roman" w:hAnsi="Times New Roman" w:cs="Times New Roman"/>
        </w:rPr>
        <w:softHyphen/>
        <w:t>вом). Благодаря увеличению воздушного зазора справа и уменьше</w:t>
      </w:r>
      <w:r w:rsidRPr="006169C5">
        <w:rPr>
          <w:rFonts w:ascii="Times New Roman" w:hAnsi="Times New Roman" w:cs="Times New Roman"/>
        </w:rPr>
        <w:softHyphen/>
        <w:t>нию его слева поток левого сердечника превышает поток правого. За счет разности этих потоков ΔФ</w:t>
      </w:r>
      <w:r w:rsidRPr="006169C5">
        <w:rPr>
          <w:rFonts w:ascii="Times New Roman" w:hAnsi="Times New Roman" w:cs="Times New Roman"/>
          <w:vertAlign w:val="subscript"/>
        </w:rPr>
        <w:t>П</w:t>
      </w:r>
      <w:r w:rsidRPr="006169C5">
        <w:rPr>
          <w:rFonts w:ascii="Times New Roman" w:hAnsi="Times New Roman" w:cs="Times New Roman"/>
        </w:rPr>
        <w:t>= Ф</w:t>
      </w:r>
      <w:r w:rsidRPr="006169C5">
        <w:rPr>
          <w:rFonts w:ascii="Times New Roman" w:hAnsi="Times New Roman" w:cs="Times New Roman"/>
          <w:vertAlign w:val="subscript"/>
        </w:rPr>
        <w:t>П1</w:t>
      </w:r>
      <w:r w:rsidRPr="006169C5">
        <w:rPr>
          <w:rFonts w:ascii="Times New Roman" w:hAnsi="Times New Roman" w:cs="Times New Roman"/>
        </w:rPr>
        <w:t>—Ф</w:t>
      </w:r>
      <w:r w:rsidRPr="006169C5">
        <w:rPr>
          <w:rFonts w:ascii="Times New Roman" w:hAnsi="Times New Roman" w:cs="Times New Roman"/>
          <w:vertAlign w:val="subscript"/>
        </w:rPr>
        <w:t>П2</w:t>
      </w:r>
      <w:r w:rsidRPr="006169C5">
        <w:rPr>
          <w:rFonts w:ascii="Times New Roman" w:hAnsi="Times New Roman" w:cs="Times New Roman"/>
        </w:rPr>
        <w:t xml:space="preserve"> якорь удерживается в левом положении. Магнитный поток Ф</w:t>
      </w:r>
      <w:r w:rsidRPr="006169C5">
        <w:rPr>
          <w:rFonts w:ascii="Times New Roman" w:hAnsi="Times New Roman" w:cs="Times New Roman"/>
          <w:vertAlign w:val="subscript"/>
        </w:rPr>
        <w:t>К</w:t>
      </w:r>
      <w:r w:rsidRPr="006169C5">
        <w:rPr>
          <w:rFonts w:ascii="Times New Roman" w:hAnsi="Times New Roman" w:cs="Times New Roman"/>
        </w:rPr>
        <w:t>, создаваемый катушками, всегда в одном стержне складывается с потоками постоянного магнита, а в другом — вычитается. Для того чтобы якорь перебросился в правое положение, необходимо по обмоткам катушек пропу</w:t>
      </w:r>
      <w:r w:rsidRPr="006169C5">
        <w:rPr>
          <w:rFonts w:ascii="Times New Roman" w:hAnsi="Times New Roman" w:cs="Times New Roman"/>
        </w:rPr>
        <w:softHyphen/>
        <w:t>стить ток такой полярности, чтобы магнитные потоки постоянного магнита и катушек складывались в правом стержне (в левом они будут вычитаться). За счет суммарного магнитного потока якорь реле перебросится в правое положение. После выключения тока якорь остается в этом положении, так как теперь уже поток Ф</w:t>
      </w:r>
      <w:r w:rsidRPr="006169C5">
        <w:rPr>
          <w:rFonts w:ascii="Times New Roman" w:hAnsi="Times New Roman" w:cs="Times New Roman"/>
          <w:vertAlign w:val="subscript"/>
        </w:rPr>
        <w:t>П</w:t>
      </w:r>
      <w:proofErr w:type="gramStart"/>
      <w:r w:rsidRPr="006169C5">
        <w:rPr>
          <w:rFonts w:ascii="Times New Roman" w:hAnsi="Times New Roman" w:cs="Times New Roman"/>
          <w:vertAlign w:val="subscript"/>
        </w:rPr>
        <w:t>2</w:t>
      </w:r>
      <w:proofErr w:type="gramEnd"/>
      <w:r w:rsidRPr="006169C5">
        <w:rPr>
          <w:rFonts w:ascii="Times New Roman" w:hAnsi="Times New Roman" w:cs="Times New Roman"/>
        </w:rPr>
        <w:t xml:space="preserve"> будет превышать поток Ф</w:t>
      </w:r>
      <w:r w:rsidRPr="006169C5">
        <w:rPr>
          <w:rFonts w:ascii="Times New Roman" w:hAnsi="Times New Roman" w:cs="Times New Roman"/>
          <w:vertAlign w:val="subscript"/>
        </w:rPr>
        <w:t>П1</w:t>
      </w:r>
      <w:r w:rsidRPr="006169C5">
        <w:rPr>
          <w:rFonts w:ascii="Times New Roman" w:hAnsi="Times New Roman" w:cs="Times New Roman"/>
        </w:rPr>
        <w:t xml:space="preserve">. Для возвращения якоря в прежнее положение необходимо пропустить ток другой полярности. </w:t>
      </w:r>
    </w:p>
    <w:p w:rsidR="00E42AAC" w:rsidRDefault="00E42AAC" w:rsidP="00E42A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69C5">
        <w:rPr>
          <w:rFonts w:ascii="Times New Roman" w:hAnsi="Times New Roman" w:cs="Times New Roman"/>
        </w:rPr>
        <w:t xml:space="preserve">Реле ПМПШ-150/150 (ПМП-150/150) имеет четыре контактные группы, из них две — с усиленными контактами (контактная формула 2 </w:t>
      </w:r>
      <w:r w:rsidRPr="006169C5">
        <w:rPr>
          <w:rFonts w:ascii="Times New Roman" w:hAnsi="Times New Roman" w:cs="Times New Roman"/>
          <w:i/>
          <w:caps/>
        </w:rPr>
        <w:t>нупу</w:t>
      </w:r>
      <w:r w:rsidRPr="006169C5">
        <w:rPr>
          <w:rFonts w:ascii="Times New Roman" w:hAnsi="Times New Roman" w:cs="Times New Roman"/>
          <w:i/>
        </w:rPr>
        <w:t xml:space="preserve">, 2 </w:t>
      </w:r>
      <w:r w:rsidRPr="006169C5">
        <w:rPr>
          <w:rFonts w:ascii="Times New Roman" w:hAnsi="Times New Roman" w:cs="Times New Roman"/>
          <w:i/>
          <w:caps/>
        </w:rPr>
        <w:t>нп</w:t>
      </w:r>
      <w:r w:rsidRPr="006169C5">
        <w:rPr>
          <w:rFonts w:ascii="Times New Roman" w:hAnsi="Times New Roman" w:cs="Times New Roman"/>
          <w:i/>
        </w:rPr>
        <w:t xml:space="preserve">, </w:t>
      </w:r>
      <w:r w:rsidRPr="006169C5">
        <w:rPr>
          <w:rFonts w:ascii="Times New Roman" w:hAnsi="Times New Roman" w:cs="Times New Roman"/>
        </w:rPr>
        <w:t xml:space="preserve">усиленные контакты </w:t>
      </w:r>
      <w:r w:rsidRPr="006169C5">
        <w:rPr>
          <w:rFonts w:ascii="Times New Roman" w:hAnsi="Times New Roman" w:cs="Times New Roman"/>
          <w:i/>
        </w:rPr>
        <w:t xml:space="preserve">111-112-113 </w:t>
      </w:r>
      <w:r w:rsidRPr="006169C5">
        <w:rPr>
          <w:rFonts w:ascii="Times New Roman" w:hAnsi="Times New Roman" w:cs="Times New Roman"/>
        </w:rPr>
        <w:t xml:space="preserve">и </w:t>
      </w:r>
      <w:r w:rsidRPr="006169C5">
        <w:rPr>
          <w:rFonts w:ascii="Times New Roman" w:hAnsi="Times New Roman" w:cs="Times New Roman"/>
          <w:i/>
        </w:rPr>
        <w:t xml:space="preserve">141-142-143). </w:t>
      </w:r>
      <w:r w:rsidRPr="006169C5">
        <w:rPr>
          <w:rFonts w:ascii="Times New Roman" w:hAnsi="Times New Roman" w:cs="Times New Roman"/>
        </w:rPr>
        <w:t>Контакты поляризованного якоря нумеруются трехзначными числами. Реле ПМПШ-150/150 рассчитано на номинальное рабочее напряжение 24 В. Обмотки его вклю</w:t>
      </w:r>
      <w:r w:rsidRPr="006169C5">
        <w:rPr>
          <w:rFonts w:ascii="Times New Roman" w:hAnsi="Times New Roman" w:cs="Times New Roman"/>
        </w:rPr>
        <w:softHyphen/>
        <w:t>чаются раздельно.</w:t>
      </w:r>
      <w:r w:rsidRPr="006169C5">
        <w:rPr>
          <w:rFonts w:ascii="Times New Roman" w:hAnsi="Times New Roman" w:cs="Times New Roman"/>
          <w:i/>
        </w:rPr>
        <w:t xml:space="preserve"> </w:t>
      </w:r>
      <w:r w:rsidRPr="006169C5">
        <w:rPr>
          <w:rFonts w:ascii="Times New Roman" w:hAnsi="Times New Roman" w:cs="Times New Roman"/>
        </w:rPr>
        <w:t>Якорь реле занимает нормаль</w:t>
      </w:r>
      <w:r w:rsidRPr="006169C5">
        <w:rPr>
          <w:rFonts w:ascii="Times New Roman" w:hAnsi="Times New Roman" w:cs="Times New Roman"/>
        </w:rPr>
        <w:softHyphen/>
        <w:t xml:space="preserve">ное положение, замыкаются контакты </w:t>
      </w:r>
      <w:r w:rsidRPr="006169C5">
        <w:rPr>
          <w:rFonts w:ascii="Times New Roman" w:hAnsi="Times New Roman" w:cs="Times New Roman"/>
          <w:i/>
        </w:rPr>
        <w:t xml:space="preserve">111-112, 121-122, 131-132, 141-142. </w:t>
      </w:r>
      <w:r w:rsidRPr="006169C5">
        <w:rPr>
          <w:rFonts w:ascii="Times New Roman" w:hAnsi="Times New Roman" w:cs="Times New Roman"/>
        </w:rPr>
        <w:t>Расстояние между усиленными контактами не менее 7,5 мм, между остальными — 5 мм. Каждый усиленный контакт обеспечивает не менее 100000 переключений цепи постоянной тока 4</w:t>
      </w:r>
      <w:proofErr w:type="gramStart"/>
      <w:r w:rsidRPr="006169C5">
        <w:rPr>
          <w:rFonts w:ascii="Times New Roman" w:hAnsi="Times New Roman" w:cs="Times New Roman"/>
        </w:rPr>
        <w:t xml:space="preserve"> А</w:t>
      </w:r>
      <w:proofErr w:type="gramEnd"/>
      <w:r w:rsidRPr="006169C5">
        <w:rPr>
          <w:rFonts w:ascii="Times New Roman" w:hAnsi="Times New Roman" w:cs="Times New Roman"/>
        </w:rPr>
        <w:t xml:space="preserve"> при напряжении 240 В, а остальные контакты — цепи постоянного тока 2 А при напряжении 24 В. Замкнутые контакты выдерживают в течение 1 ч ток 15 А. Температура нагрева контактов при этом не превышает температуру окружающей среды более чем на   100 °С.</w:t>
      </w:r>
    </w:p>
    <w:p w:rsidR="00E42AAC" w:rsidRPr="009D0BCC" w:rsidRDefault="00E42AAC" w:rsidP="00E42A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pict>
          <v:group id="_x0000_s1026" style="position:absolute;left:0;text-align:left;margin-left:0;margin-top:17.55pt;width:247.35pt;height:226.5pt;z-index:251658240;mso-position-horizontal:center;mso-position-horizontal-relative:margin" coordorigin="3149,4147" coordsize="4947,45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727;top:4483;width:3701;height:4194;mso-wrap-edited:f;mso-wrap-distance-left:0;mso-wrap-distance-right:0;mso-position-horizontal-relative:margin" wrapcoords="2725 0 2725 4894 100 4894 100 8548 0 8548 0 21600 21600 21600 21600 8548 21600 8548 21600 4894 21600 4894 21600 0 2725 0">
              <v:imagedata r:id="rId6" o:title="" grayscale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722;top:4147;width:2364;height:516" strokecolor="white">
              <v:textbox style="mso-next-textbox:#_x0000_s1028">
                <w:txbxContent>
                  <w:p w:rsidR="00E42AAC" w:rsidRDefault="00E42AAC" w:rsidP="00E42AAC">
                    <w:pPr>
                      <w:pStyle w:val="1"/>
                    </w:pPr>
                  </w:p>
                </w:txbxContent>
              </v:textbox>
            </v:shape>
            <v:shape id="_x0000_s1029" type="#_x0000_t202" style="position:absolute;left:6797;top:4782;width:492;height:456" strokecolor="white">
              <v:textbox style="mso-next-textbox:#_x0000_s1029">
                <w:txbxContent>
                  <w:p w:rsidR="00E42AAC" w:rsidRDefault="00E42AAC" w:rsidP="00E42AA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</v:shape>
            <v:line id="_x0000_s1030" style="position:absolute;flip:y" from="5765,4602" to="5897,4794" o:allowincell="f" strokeweight="1.5pt"/>
            <v:line id="_x0000_s1031" style="position:absolute;flip:y" from="6317,4614" to="6437,4794" o:allowincell="f" strokeweight="1.5pt"/>
            <v:line id="_x0000_s1032" style="position:absolute;flip:y" from="6797,4638" to="7493,4926" o:allowincell="f" strokeweight="1.5pt"/>
            <v:shape id="_x0000_s1033" type="#_x0000_t202" style="position:absolute;left:3749;top:6186;width:408;height:276" o:allowincell="f" strokecolor="white">
              <v:textbox style="mso-next-textbox:#_x0000_s1033">
                <w:txbxContent>
                  <w:p w:rsidR="00E42AAC" w:rsidRDefault="00E42AAC" w:rsidP="00E42AAC"/>
                </w:txbxContent>
              </v:textbox>
            </v:shape>
            <v:shape id="_x0000_s1034" type="#_x0000_t202" style="position:absolute;left:3149;top:6126;width:888;height:480" o:allowincell="f" strokecolor="white">
              <v:textbox style="mso-next-textbox:#_x0000_s1034">
                <w:txbxContent>
                  <w:p w:rsidR="00E42AAC" w:rsidRDefault="00E42AAC" w:rsidP="00E42AAC">
                    <w:r>
                      <w:rPr>
                        <w:b/>
                      </w:rPr>
                      <w:t>Ф</w:t>
                    </w:r>
                    <w:r>
                      <w:rPr>
                        <w:b/>
                        <w:vertAlign w:val="subscript"/>
                      </w:rPr>
                      <w:t>П</w:t>
                    </w:r>
                    <w:proofErr w:type="gramStart"/>
                    <w:r>
                      <w:rPr>
                        <w:b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line id="_x0000_s1035" style="position:absolute;flip:x" from="3845,6282" to="4193,6354" o:allowincell="f" strokeweight="1.5pt"/>
            <v:shape id="_x0000_s1036" type="#_x0000_t202" style="position:absolute;left:7281;top:4164;width:815;height:516" stroked="f">
              <v:textbox style="mso-next-textbox:#_x0000_s1036">
                <w:txbxContent>
                  <w:p w:rsidR="00E42AAC" w:rsidRDefault="00E42AAC" w:rsidP="00E42AAC">
                    <w:pPr>
                      <w:rPr>
                        <w:b/>
                        <w:bCs/>
                        <w:vertAlign w:val="subscript"/>
                      </w:rPr>
                    </w:pPr>
                    <w:r>
                      <w:rPr>
                        <w:b/>
                        <w:bCs/>
                      </w:rPr>
                      <w:t>Ф</w:t>
                    </w:r>
                    <w:r>
                      <w:rPr>
                        <w:b/>
                        <w:bCs/>
                        <w:vertAlign w:val="subscript"/>
                      </w:rPr>
                      <w:t>К</w:t>
                    </w:r>
                  </w:p>
                </w:txbxContent>
              </v:textbox>
            </v:shape>
            <w10:wrap anchorx="margin"/>
          </v:group>
        </w:pict>
      </w:r>
    </w:p>
    <w:p w:rsidR="00E42AAC" w:rsidRDefault="00E42AAC" w:rsidP="00E42AAC"/>
    <w:p w:rsidR="00E42AAC" w:rsidRPr="009D0BCC" w:rsidRDefault="00E42AAC" w:rsidP="00E42AAC"/>
    <w:p w:rsidR="00E42AAC" w:rsidRPr="009D0BCC" w:rsidRDefault="00E42AAC" w:rsidP="00E42AAC"/>
    <w:p w:rsidR="00E42AAC" w:rsidRPr="009D0BCC" w:rsidRDefault="00E42AAC" w:rsidP="00E42AAC"/>
    <w:p w:rsidR="00E42AAC" w:rsidRPr="009D0BCC" w:rsidRDefault="00E42AAC" w:rsidP="00E42AAC"/>
    <w:p w:rsidR="00E42AAC" w:rsidRPr="009D0BCC" w:rsidRDefault="00E42AAC" w:rsidP="00E42AAC"/>
    <w:p w:rsidR="00E42AAC" w:rsidRPr="009D0BCC" w:rsidRDefault="00E42AAC" w:rsidP="00E42AAC"/>
    <w:p w:rsidR="00E42AAC" w:rsidRPr="009D0BCC" w:rsidRDefault="00E42AAC" w:rsidP="00E42AAC"/>
    <w:p w:rsidR="00E42AAC" w:rsidRDefault="00E42AAC" w:rsidP="00E42AAC"/>
    <w:p w:rsidR="00E42AAC" w:rsidRPr="006169C5" w:rsidRDefault="00E42AAC" w:rsidP="00E42AAC">
      <w:pPr>
        <w:shd w:val="clear" w:color="auto" w:fill="FFFFFF"/>
        <w:tabs>
          <w:tab w:val="left" w:pos="6840"/>
        </w:tabs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42AAC" w:rsidRDefault="00E42AAC" w:rsidP="00E42AAC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Рис.1.2 - </w:t>
      </w:r>
      <w:r w:rsidRPr="006169C5">
        <w:rPr>
          <w:rFonts w:ascii="Times New Roman" w:hAnsi="Times New Roman" w:cs="Times New Roman"/>
        </w:rPr>
        <w:t>Конструкция реле ПМПШ 150/150</w:t>
      </w:r>
    </w:p>
    <w:p w:rsidR="001A21A6" w:rsidRDefault="001A21A6"/>
    <w:sectPr w:rsidR="001A21A6" w:rsidSect="001A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42AAC"/>
    <w:rsid w:val="001A21A6"/>
    <w:rsid w:val="00356068"/>
    <w:rsid w:val="00E42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AAC"/>
  </w:style>
  <w:style w:type="paragraph" w:styleId="1">
    <w:name w:val="heading 1"/>
    <w:basedOn w:val="a"/>
    <w:link w:val="10"/>
    <w:uiPriority w:val="9"/>
    <w:qFormat/>
    <w:rsid w:val="00E42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2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3080</Characters>
  <Application>Microsoft Office Word</Application>
  <DocSecurity>0</DocSecurity>
  <Lines>25</Lines>
  <Paragraphs>7</Paragraphs>
  <ScaleCrop>false</ScaleCrop>
  <Company>Hewlett-Packard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2025-02-24T10:18:00Z</dcterms:created>
  <dcterms:modified xsi:type="dcterms:W3CDTF">2025-02-24T10:20:00Z</dcterms:modified>
</cp:coreProperties>
</file>