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C1F" w:rsidRPr="00C50C1F" w:rsidRDefault="00C50C1F" w:rsidP="00C50C1F">
      <w:pPr>
        <w:spacing w:before="100" w:beforeAutospacing="1" w:after="100" w:afterAutospacing="1"/>
        <w:jc w:val="center"/>
        <w:outlineLvl w:val="0"/>
        <w:rPr>
          <w:rFonts w:ascii="Times New Roman" w:eastAsia="Times New Roman" w:hAnsi="Times New Roman" w:cs="Times New Roman"/>
          <w:b/>
          <w:color w:val="000000"/>
          <w:kern w:val="36"/>
          <w:sz w:val="28"/>
          <w:szCs w:val="28"/>
          <w:lang w:eastAsia="ru-RU"/>
        </w:rPr>
      </w:pPr>
      <w:r w:rsidRPr="00C50C1F">
        <w:rPr>
          <w:rFonts w:ascii="Times New Roman" w:eastAsia="Times New Roman" w:hAnsi="Times New Roman" w:cs="Times New Roman"/>
          <w:b/>
          <w:color w:val="000000"/>
          <w:kern w:val="36"/>
          <w:sz w:val="28"/>
          <w:szCs w:val="28"/>
          <w:lang w:eastAsia="ru-RU"/>
        </w:rPr>
        <w:t>Техническая эксплуатация сооружений и устройств путевого хозяйства</w:t>
      </w:r>
      <w:r w:rsidR="002F32AA">
        <w:rPr>
          <w:rFonts w:ascii="Times New Roman" w:eastAsia="Times New Roman" w:hAnsi="Times New Roman" w:cs="Times New Roman"/>
          <w:b/>
          <w:color w:val="000000"/>
          <w:kern w:val="36"/>
          <w:sz w:val="28"/>
          <w:szCs w:val="28"/>
          <w:lang w:eastAsia="ru-RU"/>
        </w:rPr>
        <w:t>.</w:t>
      </w:r>
    </w:p>
    <w:p w:rsidR="00C50C1F" w:rsidRPr="00C50C1F" w:rsidRDefault="00C50C1F" w:rsidP="00C50C1F">
      <w:pPr>
        <w:spacing w:before="100" w:beforeAutospacing="1" w:after="100" w:afterAutospacing="1"/>
        <w:jc w:val="center"/>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Приказов Минтранса России от 04.06.2012 N 162,</w:t>
      </w:r>
    </w:p>
    <w:p w:rsidR="00C50C1F" w:rsidRPr="00C50C1F" w:rsidRDefault="00C50C1F" w:rsidP="00C50C1F">
      <w:pPr>
        <w:spacing w:before="100" w:beforeAutospacing="1" w:after="100" w:afterAutospacing="1"/>
        <w:jc w:val="center"/>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от 30.03.2015 N 57)</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 При технической эксплуатации все элементы железнодорожного пути (земляное полотно, верхнее строение и искусственные сооружения) должны обеспечивать по прочности, устойчивости и состоянию безопасное и плавное движение поездов со скоростями, установленными на данном участке.</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 Размещение и техническое оснащение обслуживающих подразделений путевого хозяйства владельца инфраструктуры и владельца железнодорожных путей необщего пользования должны обеспечивать выполнение работ по текущему содержанию и ремонту железнодорожного пути, сооружений и устройств для выполнения заданных размеров движения поездов с установленными скоростями.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3. Железнодорожный путь в отношении радиусов кривых, сопряжения прямых и кривых, крутизны уклонов должен соответствовать утвержденному плану и профилю железнодорожной линии.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4. Железнодорожные станции, разъезды и обгонные пункты должны располагаться на горизонтальной площадке. В отдельных случаях допускается расположение их на уклонах не круче 0,0015, а в трудных топографических условиях проектирования (далее - трудные условия) - не круче 0,0025.</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особо трудных топографических условиях проектирования (далее - особо трудные условия) на разъездах и обгонных пунктах всех типов, на промежуточных железнодорожных станциях продольного или полупродольного типов, на которых не предусматриваются маневры и отцепки локомотива или вагонов от состава и разъединение соединенных поездов, допускаются уклоны круче 0,0025 в пределах станционной площадки. Допускаются также в особо трудных условиях уклоны круче 0,0025 при удлинении приемо-отправочных железнодорожных путей на существующих железнодорожных станциях, при условии принятия мер против самопроизвольного ухода вагонов или составов (без локомотива), но не круче 0,010 в обоих случаях.</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Допускается до проведения реконструкции раздельных пунктов на железнодорожных путях необщего пользования сохранять существующие уклоны, но не круче 0,010, с принятием мер по предупреждению самопроизвольного ухода вагонов или составов (без локомотива).</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5. Для предотвращения самопроизвольного ухода вагонов или составов (без локомотива) за пределы полезной длины путей на железнодорожных станциях, разъездах и обгонных пунктах продольный профиль вновь построенных и реконструированных приемо-отправочных железнодорожных путей, на которых предусматриваются отцепка локомотивов от вагонов и производство маневровых операций, проектируется вогнутого (ямообразного) очертания с одинаковыми отметками высот по концам полезной длины путей.</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необходимых случаях для предупреждения самопроизвольного ухода вагонов на другие железнодорожные пути и маршруты приема, следования и отправления поездов должно предусматриваться, соответственно, устройство предохранительных тупиков, охранных стрелок, сбрасывающих башмаков, сбрасывающих остряков, сбрасывающих стрелок, применение стационарных устройств для закрепления вагонов, которые должны соответствовать требованиям настоящих Правил, в том числе в отношении включения этих устройств в электрическую централизацию для контроля их положения.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Во всех случаях на железнодорожных станциях, разъездах и обгонных пунктах на уклонах должны быть обеспечены условия трогания с места поездов в пределах установленной нормы массы и условия удержания поездов вспомогательными тормозами локомотивов.</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6. Железнодорожные станции, разъезды и обгонные пункты, а также отдельные парки и вытяжные железнодорожные пути должны располагаться на прямых участках. В трудных условиях допускается размещение их на кривых радиусом не менее 1500 м. В особо трудных условиях допускается уменьшение радиуса кривой до 600 м, а в горных условиях - до 500 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Кроме того, на железнодорожных путях необщего пользования допускается: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 xml:space="preserve">в трудных условиях размещение раздельных пунктов, отдельных парков и вытяжных железнодорожных путей на кривых радиусом не менее 500 м, а в особо трудных условиях - размещение раздельных пунктов, на которых не </w:t>
      </w:r>
      <w:r w:rsidRPr="00C50C1F">
        <w:rPr>
          <w:rFonts w:ascii="Times New Roman" w:eastAsia="Times New Roman" w:hAnsi="Times New Roman" w:cs="Times New Roman"/>
          <w:color w:val="000000"/>
          <w:sz w:val="28"/>
          <w:szCs w:val="28"/>
          <w:lang w:eastAsia="ru-RU"/>
        </w:rPr>
        <w:lastRenderedPageBreak/>
        <w:t>производится маневровая работа, на обратных кривых радиусом не менее 500 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сохранение в эксплуатации на раздельных пунктах парковых железнодорожных путей (не более 5) и вытяжных железнодорожных путей на кривых меньшего радиуса, но не менее предусмотренного нормами и правилами.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7. Организация работ по инструментальной проверке плана и профиля железнодорожных путей, изготовлению соответствующей технической документации, а также составлению масштабных и схематических планов железнодорожных станций осуществляется,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Подразделения путевого хозяйства владельца инфраструктуры, владельца железнодорожного пути необщего пользования должны иметь:</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техническую документацию на обслуживаемые сооружения и устройства, а также нормы и правила;</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масштабные и схематические планы железнодорожных станций, продольные профили всех главных и станционных железнодорожных путей и сортировочных горок, а подразделения владельца инфраструктуры и тех железнодорожных путей необщего пользования, где обращаются его локомотивы.</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План и профиль главных и станционных железнодорожных путей подвергаются периодической инструментальной проверке в соответствии с требованиями настоящего пункта.</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 xml:space="preserve">Продольные профили сортировочных горок, подгорочных и профилированных вытяжных железнодорожных путей на сортировочных, участковых, промежуточных и грузовых железнодорожных станциях, железнодорожных путей для скатывания вагонов с вагоноопрокидывателей проверяются не реже одного раза в три года, на остальном протяжении станционных железнодорожных путей всех железнодорожных станций и путей необщего пользования профиль проверяется не реже одного раза в десять лет. Продольный профиль главных железнодорожных путей на железнодорожных станциях и перегонах проверяется в период проведения </w:t>
      </w:r>
      <w:r w:rsidRPr="00C50C1F">
        <w:rPr>
          <w:rFonts w:ascii="Times New Roman" w:eastAsia="Times New Roman" w:hAnsi="Times New Roman" w:cs="Times New Roman"/>
          <w:color w:val="000000"/>
          <w:sz w:val="28"/>
          <w:szCs w:val="28"/>
          <w:lang w:eastAsia="ru-RU"/>
        </w:rPr>
        <w:lastRenderedPageBreak/>
        <w:t>реконструкции, капитального и среднего ремонта железнодорожных путей. По результатам проверок устанавливаются конкретные сроки производства работ по выправке профилей. Участки железнодорожного пути, на которых производятся работы, вызывающие изменение плана и профиля, проверяются после их окончания с представлением, соответственно, владельцу инфраструктуры, владельцу железнодорожных путей необщего пользования соответствующей документации.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30.03.2015 N 57)</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возведении на территории железнодорожных станций новых объектов, расширении или переносе существующих юридическое лицо (индивидуальный предприниматель), выполняющее такие работы, передает, соответственно, владельцу инфраструктуры, владельцу железнодорожных путей необщего пользования исполнительную документацию, определяющую привязку объекта к существующему развитию железнодорожной станции (отдельных объектов).</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8. Ширина земляного полотна поверху на прямых участках железнодорожного пути общего и необщего пользования должна соответствовать верхнему строению железнодорожного пути. На существующих железнодорожных линиях до их реконструкции допускается ширина земляного полотна на однопутных железнодорожных линиях - не менее 5,5 м, двухпутных - не менее 9,6 м, а в скальных и дренирующих грунтах - на однопутных железнодорожных линиях - не менее 5,0 м, двухпутных - не менее 9,1 м. Минимальная ширина обочины земляного полотна поверху должна быть 0,4 м с каждой стороны железнодорожного пути.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железнодорожных путях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расстояние от оси железнодорожного пути до бровки отвала определяется в зависимости от высоты отвала, рода отвальных грунтов, типа и рода используемого железнодорожного подвижного состава и устанавливается владельцем железнодорожного пути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расстояние от подошвы развала до оси ближайшего железнодорожного пути определяется в зависимости от высоты откоса и категории грунта и должно быть не менее 2,5 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расстояние от оси бровки уступа до оси железнодорожного пути при обработке уступов экскаваторами с верхней погрузкой должно быть не менее 2,5 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кривых участках железнодорожного пути общего и необщего пользования радиусом менее 2000 м земляное полотно должно соответствовать нормам и правилам.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Для вновь строящихся железнодорожных линий и вторых железнодорожных путей, а также реконструируемых железнодорожных линий ширина земляного полотна поверху и параметры балластной призмы должны соответствовать требованиям норм и правил.</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Бровка земляного полотна железнодорожного пути в местах разлива вод должна быть не менее чем на 0,5 м выше максимальной высоты наката волны при сильных ветрах.</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9. Номинальный размер ширины колеи между внутренними гранями головок рельсов на прямых участках железнодорожного пути и на кривых радиусом 350 м и более - 1520 мм. Ширина колеи на более крутых кривых должна быть:</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радиусе от 349 до 300 м - 1530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радиусе от 299 м и менее - 1535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железнодорожных путях общего пользования, где комплексная замена рельсошпальной решетки не производилась, до их реконструкции допускается на прямых и кривых участках железнодорожного пути радиусом более 650 м номинальный размер ширины колеи - 1524 мм. В этих случаях на более крутых кривых ширина колеи принимается: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30.03.2015 N 57)</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радиусе от 650 до 450 м - 1530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радиусе от 449 до 350 м - 1535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радиусе от 349 м и менее - 1540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Величины отклонений от номинальных размеров ширины колеи, не требующие устранений на прямых и кривых участках железнодорожного пути, не должны превышать по сужению -4 мм, по уширению +8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30.03.2015 N 57)</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Порядок устранения отклонений, превышающих указанные значения, устанавливается,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Ширина колеи менее 1512 мм и более 1548 мм не допускается. Ширина колеи бесстыкового железнодорожного пути на железобетонных шпалах, уложенных до 1996 года, разрешается не менее 1510 мм и не более 1548 мм. Нахождение и курсирование железнодорожного подвижного состава, предназначенного для использования на железнодорожных путях общего пользования, по железнодорожным путям, не соответствующим указанным нормам, не допускается.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30.03.2015 N 57)</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железнодорожных путях необщего пользования допускается сохранять до переустройства:</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номинальный размер ширины колеи между внутренними гранями головок рельсов на участках с деревянными шпалами на прямых участках железнодорожного пути и на кривых радиусом 350 м и более - 1524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ширину колеи на более крутых кривых:</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радиусе от 349 м и менее - 1540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величины отклонений от номинальных размеров ширины колеи, не требующие устранений на прямых и кривых участках железнодорожного пути радиусом 350 м и более, не должны превышать по сужению -4 мм, по уширению +6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30.03.2015 N 57)</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 xml:space="preserve">На строящихся, а также после проведения реконструкции и капитального ремонта железнодорожных путей номинальный размер ширины колеи между внутренними гранями головок рельсов на прямых участках </w:t>
      </w:r>
      <w:r w:rsidRPr="00C50C1F">
        <w:rPr>
          <w:rFonts w:ascii="Times New Roman" w:eastAsia="Times New Roman" w:hAnsi="Times New Roman" w:cs="Times New Roman"/>
          <w:color w:val="000000"/>
          <w:sz w:val="28"/>
          <w:szCs w:val="28"/>
          <w:lang w:eastAsia="ru-RU"/>
        </w:rPr>
        <w:lastRenderedPageBreak/>
        <w:t>железнодорожного пути и на кривых радиусом 350 м и более должен быть - 1520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10. Верх головок рельсов обеих нитей железнодорожного пути на прямых участках должен быть в одном уровне. Разрешается на прямых участках железнодорожного пути содержать одну рельсовую нить на 6 мм выше другой в соответствии с требованиями норм и правил.</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Владельцем инфраструктуры, владельцем железнодорожных путей необщего пользования на кривых участках железнодорожного пути, в зависимости от радиуса кривой и скоростей движения устанавливается возвышение наружной рельсовой нити.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Величины допускаемых отклонений в уровне расположения рельсовых нитей на прямых и кривых участках пути устанавливаются нормами и правилами.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железнодорожных путях необщего пользования отклонение в уровне расположения головок рельсов на прямых и кривых участках железнодорожного пути допускается не более 8 мм для постоянных и не более 20 мм для передвижных железнодорожных путей.</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11. Перечень особо крупных и наиболее важных сооружений и порядок контроля за ними, а также порядок контроля за деформирующимися или находящимися в сложных инженерно-геологических условиях участками земляного полотна устанавливаются,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Мосты и тоннели по перечню, утвержденному, соответственно, владельцем инфраструктуры, владельцем железнодорожных путей необщего пользования, ограждаются контрольно-габаритными устройствами, оборудуются оповестительной сигнализацией и заградительными светофорами.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Владельцы инфраструктуры, владельцы железнодорожных путей необщего пользования формируют перечень мостов и тоннелей, которые ограждают контрольно-габаритными устройствами, а также оборудуют оповестительной сигнализацией и заградительными светофорами.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Все мосты классифицируются по грузоподъемности на основании норм и правил.</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12. Для контроля за состоянием железнодорожного пути и сооружений инфраструктуры применяются путеизмерительные вагоны и тележки, вагоны-дефектоскопы, дефектоскопные автомотрисы, дефектоскопные тележки, лаборатории по дефектоскопии, мостовые, тоннельные, путевые обследовательские, габарито-обследовательские, испытательные, ремонтно-обследовательско-водолазные станции.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Периодичность проверки железнодорожных путей, в том числе с учетом интенсивности движения, состояния железнодорожного пути и применяемых технических средств диагностики, устанавливается,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13. Рельсы и стрелочные переводы на железнодорожных путях общего пользования и железнодорожных путях необщего пользования по мощности и состоянию должны соответствовать условиям эксплуатации (грузонапряженности, осевым нагрузкам и скоростям движения поездов).</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Нормы износа рельсов и стрелочных переводов устанавливаются нормами и правилами.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14. Стрелочные переводы на железнодорожных путях общего пользования должны иметь крестовины следующих марок:</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главных и приемо-отправочных железнодорожных путях, по которым происходит движение пассажирских поездов, - не круче 1/11, а перекрестные переводы и одиночные, являющиеся продолжением перекрестных, - не круче 1/9; стрелочные переводы, по которым пассажирские поезда проходят только по прямому пути перевода, могут иметь крестовины марки 1/9. Допускается отклонение движения пассажирских поездов на боковой путь по стрелочным переводам марки 1/9, если замена таких переводов на марку 1/11 вызывает переустройство стрелочных горловин, осуществить которое в данное время не представляется возможным;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приемо-отправочных железнодорожных путях грузового движения - не круче 1/9, симметричных крестовин - не круче 1/6;</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прочих железнодорожных путях - не круче 1/8, симметричных крестовин - не круче 1/4,5.</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На железнодорожных путях необщего пользования допускается использование стрелочных переводов с крестовинами следующих марок:</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главных и приемо-отправочных железнодорожных путях - не круче 1/9, симметричных крестовин - не круче 1/6;</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прочих железнодорожных путях - не круче 1/7, симметричных крестовин - не круче 1/4,5;</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подгорочных железнодорожных путях - не круче 1/9, симметричных - не круче 1/6.</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Перед остряками всех противошерстных стрелочных переводов на главных железнодорожных путях общего пользования должны быть уложены отбойные брусья.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Применение вновь перекрестных стрелочных переводов и глухих пересечений допускается с разрешения, соответственно, владельца инфраструктуры, владельца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Централизованные стрелки на железнодорожных путях общего пользования в зависимости от климатических и других условий оборудуются устройствами механизированной очистки или снеготаяния.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15. Не допускается эксплуатировать на железнодорожных путях общего и необщего пользования стрелочные переводы и глухие пересечения, у которых допущена хотя бы одна из следующих неисправностей:</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разъединение стрелочных остряков и подвижных сердечников крестовин с тягами;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выкрашивание остряка или подвижного сердечника, при котором создается опасность набегания гребня, и во всех случаях на железнодорожных путях общего пользования, а на железнодорожных путях необщего пользования для стрелочных переводов марки 1/7 и положе, симметричных - марки 1/6, выкрашивание длиной:</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на главных железнодорожных путях - 200 мм и более;</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приемо-отправочных железнодорожных путях - 300 мм и более;</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прочих станционных железнодорожных путях - 400 мм и более;</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расстояние между рабочей гранью сердечника крестовины и рабочей гранью головки контррельса менее 1472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расстояние между рабочими гранями головки контррельса и усовика более 1435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излом остряка или рамного рельса;</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излом крестовины (сердечника, усовика или контррельса);</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разрыв контррельсового болта в одноболтовом или обоих в двухболтовом вкладыше.</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Вертикальный износ рамных рельсов, остряков, усовиков и сердечников крестовин и порядок их эксплуатации при превышении норм износа устанавливаются нормами и правилами.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16. Рельсы и стрелочные переводы на главных и приемо-отправочных железнодорожных путях должны проверяться с использованием вагонов-дефектоскопов, дефектоскопными тележками по графику (графикам), утвержденному, соответственно, владельцем инфраструктуры, владельцем железнодорожного пути необщего пользования. Порядок пропуска поездов по рельсам и элементам стрелочных переводов, имеющих опасные дефекты (остродефектные), до их замены устанавливается,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17. Укладка и снятие стрелочных переводов и глухих пересечений, станционных устройств для закрепления вагонов на железнодорожных станциях производятся по решению, соответственно, владельца инфраструктуры, владельца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Вновь уложенные и переустроенные стрелочные переводы и глухие пересечения на железнодорожных станциях, сбрасывающие башмаки, сбрасывающие остряки, сбрасывающие стрелки, стационарные устройства для закрепления вагонов, стрелочные переводы на перегонах и соответствующие стрелочные переводы на железнодорожных путях общего и необщего пользования принимаются в эксплуатацию комиссией, назначаемой,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Стрелочные переводы, соединяющие железнодорожные пути общего и необщего пользования, принимаются в эксплуатацию комиссией, состоящей из уполномоченных представителей владельца инфраструктуры и владельца железнодорожного пути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18. Стрелочными контрольными замками должны быть оборудованы нецентрализованные стрелки на железнодорожных путях 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расположенные на железнодорожных путях, по которым производится прием и отправление поездов, а также охранные;</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ведущие на железнодорожные пути, выделенные для стоянки вагонов с опасными грузами класса 1 (взрывчатыми материалами);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ведущие на железнодорожные пути, предназначенные для стоянки восстановительных и пожарных поездов;</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ведущие в предохранительные и улавливающие тупики;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ведущие на железнодорожные пути, выделенные для отстоя вагонов-дефектоскопов, путеизмерительных вагонов, железнодорожно-строительных машин.</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железнодорожных путях необщего пользования контрольными стрелочными замками оборудуются нецентрализованные стрелки: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ведущие к главным и приемо-отправочным железнодорожным путям 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ведущие в предохранительные и улавливающие тупики;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примыканий к главным железнодорожным путям на перегонах.</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Стрелки и подвижные сердечники крестовин (кроме расположенных на горочных и сортировочных железнодорожных путях), в том числе централизованные и имеющие контрольные замки, должны быть оборудованы приспособлениями для возможности запирания их навесными замками. Эти приспособления должны обеспечивать (не допуская отставания на 4 мм и более) плотное прилегание остряка к рамному рельсу, подвижного сердечника крестовины к усовику.</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19. Нецентрализованные стрелки должны быть оборудованы стрелочными указателями - освещаемыми, расположенными на главных и приемо-отправочных железнодорожных путях, или неосвещаемыми, что указывается в техническо-распорядительном акте железнодорожной станции.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необходимости места установки устройств сбрасывания оборудуются указателями в соответствии с требованиями пункта 62 приложения N 7 к настоящим Правилам.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04.06.2012 N 162)</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Дистанционно управляемые из кабины локомотива или специального самоходного подвижного состава стрелки на железнодорожных путях необщего пользования должны быть оборудованы стрелочными указателями и по решению владельца железнодорожного пути необщего пользования могут быть освещаемыми или неосвещаемыми.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Стрелки, включенные в электрическую централизацию, и стрелки подгорочных горловин сортировочных парков указателями не оборудуются.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20. Ремонт и текущее содержание стрелочных переводов и глухих пересечений, установка, ремонт и содержание стрелочных указателей, сбрасывающих башмаков, сбрасывающих остряков, сбрасывающих стрелок, стационарных устройств для закрепления вагонов, поворотных брусьев, шарнирно-коленчатых замыкателей обеспечивается, соответственно, владельцем инфраструктуры, владельцем железнодорожных путей необщего пользования. Ремонт и техническое обслуживание имеющихся средств сигнализации, централизации и блокировки на этих устройствах обеспечиваются,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21. Пересечения железнодорожных путей общего и необщего пользования другими железнодорожными путями, трамвайными, троллейбусными линиями, автомобильными дорогами и городскими улицами должны осуществляться в соответствии со статьей 21 Федерального закона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2008, N 20, ст. 2251, N 30 (ч. I), ст. 3597, N 30 (ч. II), ст. 3616, N 49, ст. 5744; 2009, N 29, ст. 3582, N 39, ст. 4532, N 52 (ч. I), ст. 6427), нормами и правилами.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Открытие на действующих железнодорожных переездах железнодорожных путей общего пользования трамвайного и троллейбусного движения не допускается. Открытие на действующих железнодорожных переездах автобусного движения допускается в каждом отдельном случае с разрешения владельца инфраструктуры.</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Места пересечений железнодорожных путей автомобильными дорогами в одном уровне и проезда под искусственными сооружениями устанавливаются,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22. Все железнодорожные переезды, расположенные на участках, оборудованных продольными линиями электроснабжения или имеющие вблизи другие постоянные источники электроснабжения, должны иметь электрическое освещение, а в необходимых случаях оборудоваться прожекторными установками для осмотра проходящих поездов.</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23. Железнодорожные переезды, оборудованные устройствами переездной сигнализации, извещающей водителей автотранспортных средств о подходе поезда, и железнодорожные переезды, не оборудованные устройствами переездной сигнализации, должны отвечать требованиям норм и правил.</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Железнодорожные переезды, обслуживаемые дежурным по переезду, должны быть оборудованы устройствами поездной радиосвязи, телефонной связью с ближайшей железнодорожной станцией или постом, а на участках, оборудованных диспетчерской централизацией, связью с диспетчером поездным.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lastRenderedPageBreak/>
        <w:t>Железнодорожные переезды инфраструктуры, обслуживаемые дежурным по переезду, могут оборудоваться устройствами заграждения переездов.</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отдельных охраняемых железнодорожных переездах железнодорожных путей необщего пользования допускается обслуживание одним дежурным по переезду двух или трех близко расположенных железнодорожных переездов, при условии хорошей видимости и оборудования их автоматическими шлагбаумами, управляемыми с одного поста.</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Исправное содержание и работа переездной сигнализации, автоматических шлагбаумов, аппаратуры управления и контроля устройств заграждения железнодорожных переездов обеспечивается,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24. Железнодорожные переезды должны иметь типовой настил и подъезды, огражденные столбиками или перилами. На подходах к железнодорожным переездам должны быть предупредительные знаки: со стороны подхода поездов - сигнальный знак "С" о подаче свистка, а со стороны автомобильной дороги знаки, предусмотренные нормативными правовыми актами в области безопасности дорожного движения. Перед железнодорожным переездом, не обслуживаемым дежурным по переезду, с неудовлетворительной видимостью со стороны подхода поездов должен устанавливаться дополнительный сигнальный знак "С".</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25. Дежурный по переезду должен обеспечивать безопасное движение поездов и автотранспортных средств на железнодорожном переезде, своевременно открывать и закрывать шлагбаум, подавать установленные сигналы и наблюдать за состоянием проходящих поездов. В случае обнаружения неисправности, угрожающей безопасности движения, он обязан принять меры к остановке поезда, а если отсутствует сигнал, обозначающий хвост поезда, доложить об этом дежурному по железнодорожной станции и машинисту проходящего поезда, а на участках, оборудованных диспетчерской централизацией, диспетчеру поездному.</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 xml:space="preserve">26. Пересечения железнодорожных путей инженерными сооружениями, в том числе линиями связи, электропередачи, нефте-, газо-, продуктопроводами и другими наземными и подземными сооружениями, на стадии проектирования согласовываются, соответственно, владельцем инфраструктуры, владельцем железнодорожного пути необщего </w:t>
      </w:r>
      <w:r w:rsidRPr="00C50C1F">
        <w:rPr>
          <w:rFonts w:ascii="Times New Roman" w:eastAsia="Times New Roman" w:hAnsi="Times New Roman" w:cs="Times New Roman"/>
          <w:color w:val="000000"/>
          <w:sz w:val="28"/>
          <w:szCs w:val="28"/>
          <w:lang w:eastAsia="ru-RU"/>
        </w:rPr>
        <w:lastRenderedPageBreak/>
        <w:t>пользования. На таких пересечениях должны быть предусмотрены специальные предохранительные устройства или осуществлены меры, обеспечивающие безопасность и бесперебойность движения поездов. Проекты таких устройств должны быть согласованы, соответственно, владельцем инфраструктуры, владельцем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27. Примыкание вновь строящихся железнодорожных путей необщего пользования к главным железнодорожным путям на перегонах железнодорожных путей общего пользования не допускается.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30.03.2015 N 57)</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Временная укладка и снятие стрелочных переводов на перегонах в связи со строительством вторых железнодорожных путей, производством работ по реконструкции и капитальному ремонту сооружений и устройств, строительством новых раздельных пунктов осуществляются в каждом отдельном случае с разрешения, соответственно, владельца инфраструктуры, владельца железнодорожных путей необщего пользования.</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переводе на консервацию раздельного пункта решение о сохранении или закрытии примыкания на перегоне железнодорожного пути необщего пользования принимает, соответственно, владелец инфраструктуры, владелец железнодорожного пути необщего пользования с обеспечением обслуживания технических средств.</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Прекращение работы раздельного пункта по пассажирским и грузовым операциям осуществляется только после закрытия их для выполнения указанных операций.</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28. В местах пересечения железнодорожных путей в одном уровне, а также примыкания железнодорожных линий, железнодорожных путей необщего пользования и соединительных железнодорожных путей к главным железнодорожным путям железнодорожного транспорта общего пользования, на перегонах и железнодорожных станциях должны располагаться предохранительные тупики или охранные стрелки.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 xml:space="preserve">Места примыкания железнодорожных путей необщего пользования и соединительных железнодорожных путей к приемо-отправочным и другим станционным железнодорожным путям общего пользования и необщего </w:t>
      </w:r>
      <w:r w:rsidRPr="00C50C1F">
        <w:rPr>
          <w:rFonts w:ascii="Times New Roman" w:eastAsia="Times New Roman" w:hAnsi="Times New Roman" w:cs="Times New Roman"/>
          <w:color w:val="000000"/>
          <w:sz w:val="28"/>
          <w:szCs w:val="28"/>
          <w:lang w:eastAsia="ru-RU"/>
        </w:rPr>
        <w:lastRenderedPageBreak/>
        <w:t>пользования для предотвращения самопроизвольного выхода железнодорожного подвижного состава на железнодорожную станцию или перегон должны иметь соответствующие устройства: предохранительные тупики, охранные стрелки, сбрасывающие башмаки, сбрасывающие остряки или сбрасывающие стрелки.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30.03.2015 N 57)</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Полезная длина предохранительных тупиков должна быть не менее 50 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Допускается до проведения реконструкции железнодорожных путей необщего пользования сохранять предохранительные тупики меньшей длины.</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При проектировании и строительстве перегонов, имеющих затяжные спуски, а также на железнодорожных станциях, ограничивающих такие перегоны, должны быть предусмотрены улавливающие тупики.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Разводные мосты должны быть ограждены с обеих сторон предохранительными тупиками либо сбрасывающими башмаками или сбрасывающими стрелками.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29. Стрелочные переводы, укладываемые на перегонах двухпутных железнодорожных линий, должны быть пошерстными для поездов, следующих по правильному железнодорожному пути.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исключительных случаях, при трудных подходах примыкающих железнодорожных путей с разрешения, соответственно, владельца инфраструктуры, владельца железнодорожных путей необщего пользования может допускаться укладка противошерстных стрелочных переводов.</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30. Владелец инфраструктуры, владелец железнодорожного пути необщего пользования устанавливают:</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у главных железнодорожных путей сигнальные и путевые знаки;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у стрелочных переводов и в других местах соединения железнодорожных путей предельные столбики.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 xml:space="preserve">При необходимости для обозначения границ железнодорожной полосы отвода железнодорожных путей общего и необщего пользования, а также для </w:t>
      </w:r>
      <w:r w:rsidRPr="00C50C1F">
        <w:rPr>
          <w:rFonts w:ascii="Times New Roman" w:eastAsia="Times New Roman" w:hAnsi="Times New Roman" w:cs="Times New Roman"/>
          <w:color w:val="000000"/>
          <w:sz w:val="28"/>
          <w:szCs w:val="28"/>
          <w:lang w:eastAsia="ru-RU"/>
        </w:rPr>
        <w:lastRenderedPageBreak/>
        <w:t>обозначения на поверхности земли скрытых сооружений земляного полотна устанавливаются особые путевые знаки.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Сигнальные знаки устанавливаются, соответственно, владельцем инфраструктуры, владельцем железнодорожного пути необщего пользования с правой стороны по направлению движения, а путевые - с правой стороны по счету километров на расстоянии не менее 3100 мм от оси крайнего железнодорожного пути.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выемках (кроме скальных) и на выходах из них путевые и сигнальные знаки устанавливаются, соответственно, владельцем инфраструктуры, владельцем железнодорожного пути необщего пользования за пределами кюветов и лотков с полевой стороны. В сильно заносимых выемках и на выходах из них (в пределах до 100 м) указанные знаки устанавливаются на расстоянии не менее 5700 мм от оси крайнего железнодорожного пути. Перечень таких выемок устанавливается, соответственно, владельцем инфраструктуры, владельцем железнодорожных путей необщего пользования. На электрифицированных участках сигнальные и путевые знаки могут устанавливаться на опорах контактной сети, кроме тех опор, на которых установлены светофорные головки, комплектные трансформаторные подстанции, разъединители и разрядники контактной сети.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Предельные столбики устанавливаются посередине междупутья в том месте, где расстояние между осями сходящихся железнодорожных путей составляет 4100 мм. На существующих станционных железнодорожных путях, по которым не обращается железнодорожный подвижной состав, построенный по габариту Т, разрешается сохранить расстояние 3810 мм. На перегрузочных железнодорожных путях с суженным междупутьем предельные столбики устанавливаются в том месте, где ширина междупутья достигает 3600 мм.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На кривых участках железнодорожного пути эти расстояния должны быть увеличены в соответствии с нормами и правилами.</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Сигнальные, путевые и особые путевые знаки должны соответствовать требованиям, установленным приложением N 7 к настоящим Правилам.</w:t>
      </w:r>
    </w:p>
    <w:p w:rsidR="00C50C1F" w:rsidRPr="00C50C1F" w:rsidRDefault="00C50C1F" w:rsidP="00C50C1F">
      <w:pPr>
        <w:spacing w:before="100" w:beforeAutospacing="1" w:after="100" w:afterAutospacing="1"/>
        <w:rPr>
          <w:rFonts w:ascii="Times New Roman" w:eastAsia="Times New Roman" w:hAnsi="Times New Roman" w:cs="Times New Roman"/>
          <w:color w:val="000000"/>
          <w:sz w:val="28"/>
          <w:szCs w:val="28"/>
          <w:lang w:eastAsia="ru-RU"/>
        </w:rPr>
      </w:pPr>
      <w:r w:rsidRPr="00C50C1F">
        <w:rPr>
          <w:rFonts w:ascii="Times New Roman" w:eastAsia="Times New Roman" w:hAnsi="Times New Roman" w:cs="Times New Roman"/>
          <w:color w:val="000000"/>
          <w:sz w:val="28"/>
          <w:szCs w:val="28"/>
          <w:lang w:eastAsia="ru-RU"/>
        </w:rPr>
        <w:t>(В ред. Приказа Минтранса России от 30.03.2015 N 57)</w:t>
      </w:r>
    </w:p>
    <w:p w:rsidR="0007327C" w:rsidRPr="00C50C1F" w:rsidRDefault="0007327C" w:rsidP="00C50C1F">
      <w:pPr>
        <w:rPr>
          <w:rFonts w:ascii="Times New Roman" w:hAnsi="Times New Roman" w:cs="Times New Roman"/>
          <w:sz w:val="28"/>
          <w:szCs w:val="28"/>
        </w:rPr>
      </w:pPr>
    </w:p>
    <w:sectPr w:rsidR="0007327C" w:rsidRPr="00C50C1F" w:rsidSect="0007327C">
      <w:headerReference w:type="default" r:id="rId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C79" w:rsidRDefault="00E05C79" w:rsidP="00C50C1F">
      <w:pPr>
        <w:spacing w:after="0" w:line="240" w:lineRule="auto"/>
      </w:pPr>
      <w:r>
        <w:separator/>
      </w:r>
    </w:p>
  </w:endnote>
  <w:endnote w:type="continuationSeparator" w:id="1">
    <w:p w:rsidR="00E05C79" w:rsidRDefault="00E05C79" w:rsidP="00C50C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408813"/>
      <w:docPartObj>
        <w:docPartGallery w:val="Page Numbers (Bottom of Page)"/>
        <w:docPartUnique/>
      </w:docPartObj>
    </w:sdtPr>
    <w:sdtContent>
      <w:p w:rsidR="00C50C1F" w:rsidRDefault="00C50C1F">
        <w:pPr>
          <w:pStyle w:val="a6"/>
          <w:jc w:val="center"/>
        </w:pPr>
        <w:fldSimple w:instr=" PAGE   \* MERGEFORMAT ">
          <w:r w:rsidR="002F32AA">
            <w:rPr>
              <w:noProof/>
            </w:rPr>
            <w:t>1</w:t>
          </w:r>
        </w:fldSimple>
      </w:p>
    </w:sdtContent>
  </w:sdt>
  <w:p w:rsidR="00C50C1F" w:rsidRDefault="00C50C1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C79" w:rsidRDefault="00E05C79" w:rsidP="00C50C1F">
      <w:pPr>
        <w:spacing w:after="0" w:line="240" w:lineRule="auto"/>
      </w:pPr>
      <w:r>
        <w:separator/>
      </w:r>
    </w:p>
  </w:footnote>
  <w:footnote w:type="continuationSeparator" w:id="1">
    <w:p w:rsidR="00E05C79" w:rsidRDefault="00E05C79" w:rsidP="00C50C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C1F" w:rsidRDefault="00C50C1F">
    <w:pPr>
      <w:pStyle w:val="a4"/>
    </w:pPr>
    <w:r>
      <w:t xml:space="preserve">                                                                            ТЭ и БД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50C1F"/>
    <w:rsid w:val="0007327C"/>
    <w:rsid w:val="002F32AA"/>
    <w:rsid w:val="00C50C1F"/>
    <w:rsid w:val="00E05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27C"/>
  </w:style>
  <w:style w:type="paragraph" w:styleId="1">
    <w:name w:val="heading 1"/>
    <w:basedOn w:val="a"/>
    <w:link w:val="10"/>
    <w:uiPriority w:val="9"/>
    <w:qFormat/>
    <w:rsid w:val="00C50C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0C1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50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C50C1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50C1F"/>
  </w:style>
  <w:style w:type="paragraph" w:styleId="a6">
    <w:name w:val="footer"/>
    <w:basedOn w:val="a"/>
    <w:link w:val="a7"/>
    <w:uiPriority w:val="99"/>
    <w:unhideWhenUsed/>
    <w:rsid w:val="00C50C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50C1F"/>
  </w:style>
</w:styles>
</file>

<file path=word/webSettings.xml><?xml version="1.0" encoding="utf-8"?>
<w:webSettings xmlns:r="http://schemas.openxmlformats.org/officeDocument/2006/relationships" xmlns:w="http://schemas.openxmlformats.org/wordprocessingml/2006/main">
  <w:divs>
    <w:div w:id="107573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4753</Words>
  <Characters>27097</Characters>
  <Application>Microsoft Office Word</Application>
  <DocSecurity>0</DocSecurity>
  <Lines>225</Lines>
  <Paragraphs>63</Paragraphs>
  <ScaleCrop>false</ScaleCrop>
  <Company/>
  <LinksUpToDate>false</LinksUpToDate>
  <CharactersWithSpaces>31787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2024-09-19T06:45:00Z</dcterms:created>
  <dcterms:modified xsi:type="dcterms:W3CDTF">2024-09-19T06:48:00Z</dcterms:modified>
</cp:coreProperties>
</file>