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4E6" w:rsidRDefault="006374E6" w:rsidP="006374E6">
      <w:pPr>
        <w:jc w:val="center"/>
        <w:rPr>
          <w:rFonts w:ascii="Times New Roman" w:hAnsi="Times New Roman" w:cs="Times New Roman"/>
          <w:b/>
          <w:bCs/>
          <w:sz w:val="28"/>
          <w:szCs w:val="28"/>
        </w:rPr>
      </w:pPr>
      <w:r>
        <w:rPr>
          <w:rFonts w:ascii="Times New Roman" w:hAnsi="Times New Roman" w:cs="Times New Roman"/>
          <w:b/>
          <w:bCs/>
          <w:sz w:val="28"/>
          <w:szCs w:val="28"/>
        </w:rPr>
        <w:t>МИНИСТЕРСТВО ТРАНСПОРТА РОССИЙСКОЙ ФЕДЕРАЦИИ ФЕДЕРАЛЬНОГО АГЕНТСТВО ЖЕЛЕЗНОДОРОЖНОГО ТРАНСПОРТА</w:t>
      </w:r>
    </w:p>
    <w:p w:rsidR="006374E6" w:rsidRDefault="006374E6" w:rsidP="006374E6">
      <w:pPr>
        <w:jc w:val="center"/>
        <w:rPr>
          <w:rFonts w:ascii="Times New Roman" w:hAnsi="Times New Roman" w:cs="Times New Roman"/>
          <w:sz w:val="28"/>
          <w:szCs w:val="28"/>
        </w:rPr>
      </w:pPr>
      <w:r>
        <w:rPr>
          <w:rFonts w:ascii="Times New Roman" w:hAnsi="Times New Roman" w:cs="Times New Roman"/>
          <w:sz w:val="28"/>
          <w:szCs w:val="28"/>
        </w:rPr>
        <w:t>Филиал федерального государственного бюджетного образовательного</w:t>
      </w:r>
    </w:p>
    <w:p w:rsidR="006374E6" w:rsidRDefault="006374E6" w:rsidP="006374E6">
      <w:pPr>
        <w:jc w:val="center"/>
        <w:rPr>
          <w:rFonts w:ascii="Times New Roman" w:hAnsi="Times New Roman" w:cs="Times New Roman"/>
          <w:sz w:val="28"/>
          <w:szCs w:val="28"/>
        </w:rPr>
      </w:pPr>
      <w:r>
        <w:rPr>
          <w:rFonts w:ascii="Times New Roman" w:hAnsi="Times New Roman" w:cs="Times New Roman"/>
          <w:sz w:val="28"/>
          <w:szCs w:val="28"/>
        </w:rPr>
        <w:t>Учреждения высшего образования</w:t>
      </w:r>
    </w:p>
    <w:p w:rsidR="006374E6" w:rsidRDefault="006374E6" w:rsidP="006374E6">
      <w:pPr>
        <w:jc w:val="center"/>
        <w:rPr>
          <w:rFonts w:ascii="Times New Roman" w:hAnsi="Times New Roman" w:cs="Times New Roman"/>
          <w:sz w:val="28"/>
          <w:szCs w:val="28"/>
        </w:rPr>
      </w:pPr>
      <w:r>
        <w:rPr>
          <w:rFonts w:ascii="Times New Roman" w:hAnsi="Times New Roman" w:cs="Times New Roman"/>
          <w:sz w:val="28"/>
          <w:szCs w:val="28"/>
        </w:rPr>
        <w:t>«Самарский государственный университет путей сообщения в г. Саратове»</w:t>
      </w:r>
    </w:p>
    <w:p w:rsidR="006374E6" w:rsidRDefault="006374E6" w:rsidP="006374E6">
      <w:pPr>
        <w:jc w:val="center"/>
        <w:rPr>
          <w:rFonts w:ascii="Times New Roman" w:hAnsi="Times New Roman" w:cs="Times New Roman"/>
          <w:sz w:val="28"/>
          <w:szCs w:val="28"/>
        </w:rPr>
      </w:pPr>
      <w:r>
        <w:rPr>
          <w:rFonts w:ascii="Times New Roman" w:hAnsi="Times New Roman" w:cs="Times New Roman"/>
          <w:sz w:val="28"/>
          <w:szCs w:val="28"/>
        </w:rPr>
        <w:t>Филиал СамГУПС в г. Саратов</w:t>
      </w:r>
    </w:p>
    <w:p w:rsidR="006374E6" w:rsidRPr="006374E6" w:rsidRDefault="006374E6" w:rsidP="006374E6">
      <w:pPr>
        <w:jc w:val="center"/>
        <w:rPr>
          <w:rFonts w:ascii="Times New Roman" w:hAnsi="Times New Roman" w:cs="Times New Roman"/>
          <w:sz w:val="28"/>
          <w:szCs w:val="28"/>
        </w:rPr>
      </w:pPr>
    </w:p>
    <w:p w:rsidR="006374E6" w:rsidRPr="006374E6" w:rsidRDefault="006374E6" w:rsidP="006374E6">
      <w:pPr>
        <w:jc w:val="center"/>
        <w:rPr>
          <w:rFonts w:ascii="Times New Roman" w:hAnsi="Times New Roman" w:cs="Times New Roman"/>
          <w:sz w:val="28"/>
          <w:szCs w:val="28"/>
        </w:rPr>
      </w:pPr>
    </w:p>
    <w:p w:rsidR="006374E6" w:rsidRPr="006374E6" w:rsidRDefault="006374E6" w:rsidP="006374E6">
      <w:pPr>
        <w:jc w:val="center"/>
        <w:rPr>
          <w:rFonts w:ascii="Times New Roman" w:hAnsi="Times New Roman" w:cs="Times New Roman"/>
          <w:b/>
          <w:sz w:val="28"/>
          <w:szCs w:val="28"/>
        </w:rPr>
      </w:pPr>
      <w:r w:rsidRPr="006374E6">
        <w:rPr>
          <w:rFonts w:ascii="Times New Roman" w:hAnsi="Times New Roman" w:cs="Times New Roman"/>
          <w:b/>
          <w:sz w:val="28"/>
          <w:szCs w:val="28"/>
        </w:rPr>
        <w:t>ДОКЛАД</w:t>
      </w:r>
    </w:p>
    <w:p w:rsidR="006374E6" w:rsidRPr="006374E6" w:rsidRDefault="00D27C42" w:rsidP="006374E6">
      <w:pPr>
        <w:jc w:val="center"/>
        <w:rPr>
          <w:rFonts w:ascii="Times New Roman" w:hAnsi="Times New Roman" w:cs="Times New Roman"/>
          <w:sz w:val="28"/>
          <w:szCs w:val="28"/>
        </w:rPr>
      </w:pPr>
      <w:r>
        <w:rPr>
          <w:rFonts w:ascii="Times New Roman" w:hAnsi="Times New Roman" w:cs="Times New Roman"/>
          <w:sz w:val="28"/>
          <w:szCs w:val="28"/>
        </w:rPr>
        <w:t>по предмету «Эл. Цепи ТПС»</w:t>
      </w:r>
    </w:p>
    <w:p w:rsidR="006374E6" w:rsidRPr="006374E6" w:rsidRDefault="006374E6" w:rsidP="006374E6">
      <w:pPr>
        <w:jc w:val="center"/>
        <w:rPr>
          <w:rFonts w:ascii="Times New Roman" w:hAnsi="Times New Roman" w:cs="Times New Roman"/>
          <w:sz w:val="28"/>
          <w:szCs w:val="28"/>
        </w:rPr>
      </w:pPr>
      <w:r w:rsidRPr="006374E6">
        <w:rPr>
          <w:rFonts w:ascii="Times New Roman" w:hAnsi="Times New Roman" w:cs="Times New Roman"/>
          <w:sz w:val="28"/>
          <w:szCs w:val="28"/>
        </w:rPr>
        <w:t>На тему: «</w:t>
      </w:r>
      <w:r w:rsidR="007F7600" w:rsidRPr="007F7600">
        <w:rPr>
          <w:rFonts w:ascii="Times New Roman" w:hAnsi="Times New Roman" w:cs="Times New Roman"/>
          <w:sz w:val="28"/>
          <w:szCs w:val="28"/>
        </w:rPr>
        <w:t>Назначение и принцип работы реле заземления</w:t>
      </w:r>
      <w:r w:rsidRPr="006374E6">
        <w:rPr>
          <w:rFonts w:ascii="Times New Roman" w:hAnsi="Times New Roman" w:cs="Times New Roman"/>
          <w:sz w:val="28"/>
          <w:szCs w:val="28"/>
        </w:rPr>
        <w:t>»</w:t>
      </w:r>
    </w:p>
    <w:p w:rsidR="006374E6" w:rsidRPr="006374E6" w:rsidRDefault="006374E6" w:rsidP="006374E6">
      <w:pPr>
        <w:jc w:val="center"/>
        <w:rPr>
          <w:rFonts w:ascii="Times New Roman" w:hAnsi="Times New Roman" w:cs="Times New Roman"/>
          <w:sz w:val="28"/>
          <w:szCs w:val="28"/>
        </w:rPr>
      </w:pPr>
    </w:p>
    <w:p w:rsidR="006374E6" w:rsidRPr="006374E6" w:rsidRDefault="006374E6" w:rsidP="006374E6">
      <w:pPr>
        <w:jc w:val="center"/>
        <w:rPr>
          <w:rFonts w:ascii="Times New Roman" w:hAnsi="Times New Roman" w:cs="Times New Roman"/>
          <w:sz w:val="28"/>
          <w:szCs w:val="28"/>
        </w:rPr>
      </w:pPr>
    </w:p>
    <w:p w:rsidR="006374E6" w:rsidRPr="006374E6" w:rsidRDefault="006374E6" w:rsidP="006374E6">
      <w:pPr>
        <w:jc w:val="center"/>
        <w:rPr>
          <w:rFonts w:ascii="Times New Roman" w:hAnsi="Times New Roman" w:cs="Times New Roman"/>
          <w:sz w:val="28"/>
          <w:szCs w:val="28"/>
        </w:rPr>
      </w:pPr>
    </w:p>
    <w:p w:rsidR="006374E6" w:rsidRDefault="006374E6" w:rsidP="006374E6">
      <w:pPr>
        <w:rPr>
          <w:rFonts w:ascii="Times New Roman" w:hAnsi="Times New Roman" w:cs="Times New Roman"/>
          <w:sz w:val="28"/>
          <w:szCs w:val="28"/>
        </w:rPr>
      </w:pPr>
    </w:p>
    <w:p w:rsidR="006374E6" w:rsidRPr="006374E6" w:rsidRDefault="006374E6" w:rsidP="006374E6">
      <w:pPr>
        <w:rPr>
          <w:rFonts w:ascii="Times New Roman" w:hAnsi="Times New Roman" w:cs="Times New Roman"/>
          <w:sz w:val="28"/>
          <w:szCs w:val="28"/>
        </w:rPr>
      </w:pPr>
    </w:p>
    <w:p w:rsidR="006374E6" w:rsidRPr="006374E6" w:rsidRDefault="006374E6" w:rsidP="006374E6">
      <w:pPr>
        <w:rPr>
          <w:rFonts w:ascii="Times New Roman" w:hAnsi="Times New Roman" w:cs="Times New Roman"/>
          <w:sz w:val="28"/>
          <w:szCs w:val="28"/>
        </w:rPr>
      </w:pPr>
    </w:p>
    <w:p w:rsidR="006374E6" w:rsidRPr="006374E6" w:rsidRDefault="006374E6" w:rsidP="006374E6">
      <w:pPr>
        <w:jc w:val="center"/>
        <w:rPr>
          <w:rFonts w:ascii="Times New Roman" w:hAnsi="Times New Roman" w:cs="Times New Roman"/>
          <w:sz w:val="28"/>
          <w:szCs w:val="28"/>
        </w:rPr>
      </w:pPr>
    </w:p>
    <w:p w:rsidR="006374E6" w:rsidRPr="006374E6" w:rsidRDefault="006374E6" w:rsidP="006374E6">
      <w:pPr>
        <w:jc w:val="center"/>
        <w:rPr>
          <w:rFonts w:ascii="Times New Roman" w:hAnsi="Times New Roman" w:cs="Times New Roman"/>
          <w:sz w:val="28"/>
          <w:szCs w:val="28"/>
        </w:rPr>
      </w:pPr>
    </w:p>
    <w:p w:rsidR="006374E6" w:rsidRPr="006374E6" w:rsidRDefault="006374E6" w:rsidP="006374E6">
      <w:pPr>
        <w:jc w:val="center"/>
        <w:rPr>
          <w:rFonts w:ascii="Times New Roman" w:hAnsi="Times New Roman" w:cs="Times New Roman"/>
          <w:sz w:val="28"/>
          <w:szCs w:val="28"/>
        </w:rPr>
      </w:pPr>
    </w:p>
    <w:p w:rsidR="006374E6" w:rsidRPr="006374E6" w:rsidRDefault="006374E6" w:rsidP="006374E6">
      <w:pPr>
        <w:rPr>
          <w:rFonts w:ascii="Times New Roman" w:hAnsi="Times New Roman" w:cs="Times New Roman"/>
          <w:sz w:val="28"/>
          <w:szCs w:val="28"/>
        </w:rPr>
      </w:pPr>
      <w:r w:rsidRPr="006374E6">
        <w:rPr>
          <w:rFonts w:ascii="Times New Roman" w:hAnsi="Times New Roman" w:cs="Times New Roman"/>
          <w:sz w:val="28"/>
          <w:szCs w:val="28"/>
        </w:rPr>
        <w:t xml:space="preserve">                                                                                </w:t>
      </w:r>
      <w:r>
        <w:rPr>
          <w:rFonts w:ascii="Times New Roman" w:hAnsi="Times New Roman" w:cs="Times New Roman"/>
          <w:sz w:val="28"/>
          <w:szCs w:val="28"/>
        </w:rPr>
        <w:t xml:space="preserve"> Выполнил</w:t>
      </w:r>
      <w:r w:rsidR="00D27C42">
        <w:rPr>
          <w:rFonts w:ascii="Times New Roman" w:hAnsi="Times New Roman" w:cs="Times New Roman"/>
          <w:sz w:val="28"/>
          <w:szCs w:val="28"/>
        </w:rPr>
        <w:t>а</w:t>
      </w:r>
      <w:r>
        <w:rPr>
          <w:rFonts w:ascii="Times New Roman" w:hAnsi="Times New Roman" w:cs="Times New Roman"/>
          <w:sz w:val="28"/>
          <w:szCs w:val="28"/>
        </w:rPr>
        <w:t xml:space="preserve"> студент</w:t>
      </w:r>
      <w:r w:rsidR="00D27C42">
        <w:rPr>
          <w:rFonts w:ascii="Times New Roman" w:hAnsi="Times New Roman" w:cs="Times New Roman"/>
          <w:sz w:val="28"/>
          <w:szCs w:val="28"/>
        </w:rPr>
        <w:t xml:space="preserve">ка группы: </w:t>
      </w:r>
      <w:r w:rsidR="00D27C42">
        <w:rPr>
          <w:rFonts w:ascii="Times New Roman" w:hAnsi="Times New Roman" w:cs="Times New Roman"/>
          <w:sz w:val="28"/>
          <w:szCs w:val="28"/>
        </w:rPr>
        <w:br/>
        <w:t xml:space="preserve">                                                                                 Т-42</w:t>
      </w:r>
      <w:r w:rsidRPr="006374E6">
        <w:rPr>
          <w:rFonts w:ascii="Times New Roman" w:hAnsi="Times New Roman" w:cs="Times New Roman"/>
          <w:sz w:val="28"/>
          <w:szCs w:val="28"/>
        </w:rPr>
        <w:br/>
        <w:t xml:space="preserve">                                                                                </w:t>
      </w:r>
      <w:r w:rsidR="00D27C42">
        <w:rPr>
          <w:rFonts w:ascii="Times New Roman" w:hAnsi="Times New Roman" w:cs="Times New Roman"/>
          <w:sz w:val="28"/>
          <w:szCs w:val="28"/>
        </w:rPr>
        <w:t xml:space="preserve"> </w:t>
      </w:r>
      <w:r w:rsidR="00DB3BBD">
        <w:rPr>
          <w:rFonts w:ascii="Times New Roman" w:hAnsi="Times New Roman" w:cs="Times New Roman"/>
          <w:sz w:val="28"/>
          <w:szCs w:val="28"/>
        </w:rPr>
        <w:t>Осин Д.</w:t>
      </w:r>
    </w:p>
    <w:p w:rsidR="006374E6" w:rsidRPr="006374E6" w:rsidRDefault="006374E6" w:rsidP="006374E6">
      <w:pPr>
        <w:rPr>
          <w:rFonts w:ascii="Times New Roman" w:hAnsi="Times New Roman" w:cs="Times New Roman"/>
          <w:sz w:val="28"/>
          <w:szCs w:val="28"/>
        </w:rPr>
      </w:pPr>
      <w:r w:rsidRPr="006374E6">
        <w:rPr>
          <w:rFonts w:ascii="Times New Roman" w:hAnsi="Times New Roman" w:cs="Times New Roman"/>
          <w:sz w:val="28"/>
          <w:szCs w:val="28"/>
        </w:rPr>
        <w:t xml:space="preserve">                                                                                 Преподаватель: </w:t>
      </w:r>
    </w:p>
    <w:p w:rsidR="006374E6" w:rsidRDefault="006374E6" w:rsidP="006374E6">
      <w:pPr>
        <w:rPr>
          <w:rFonts w:ascii="Times New Roman" w:hAnsi="Times New Roman" w:cs="Times New Roman"/>
        </w:rPr>
      </w:pPr>
    </w:p>
    <w:p w:rsidR="006374E6" w:rsidRDefault="006374E6" w:rsidP="006374E6">
      <w:pPr>
        <w:rPr>
          <w:rFonts w:ascii="Times New Roman" w:hAnsi="Times New Roman" w:cs="Times New Roman"/>
        </w:rPr>
      </w:pPr>
    </w:p>
    <w:p w:rsidR="007F7600" w:rsidRPr="006374E6" w:rsidRDefault="007F7600" w:rsidP="006374E6">
      <w:pPr>
        <w:rPr>
          <w:rFonts w:ascii="Times New Roman" w:hAnsi="Times New Roman" w:cs="Times New Roman"/>
        </w:rPr>
      </w:pPr>
    </w:p>
    <w:p w:rsidR="006374E6" w:rsidRPr="006374E6" w:rsidRDefault="006374E6" w:rsidP="006374E6">
      <w:pPr>
        <w:jc w:val="center"/>
        <w:rPr>
          <w:rFonts w:ascii="Times New Roman" w:hAnsi="Times New Roman" w:cs="Times New Roman"/>
          <w:sz w:val="28"/>
          <w:szCs w:val="28"/>
        </w:rPr>
      </w:pPr>
    </w:p>
    <w:p w:rsidR="006374E6" w:rsidRPr="007F7600" w:rsidRDefault="006374E6" w:rsidP="007F7600">
      <w:pPr>
        <w:jc w:val="center"/>
        <w:rPr>
          <w:rFonts w:ascii="Times New Roman" w:hAnsi="Times New Roman" w:cs="Times New Roman"/>
          <w:sz w:val="28"/>
          <w:szCs w:val="28"/>
        </w:rPr>
      </w:pPr>
      <w:r w:rsidRPr="006374E6">
        <w:rPr>
          <w:rFonts w:ascii="Times New Roman" w:hAnsi="Times New Roman" w:cs="Times New Roman"/>
          <w:sz w:val="28"/>
          <w:szCs w:val="28"/>
        </w:rPr>
        <w:t>Саратов, 2025</w:t>
      </w:r>
    </w:p>
    <w:p w:rsidR="006374E6" w:rsidRDefault="006374E6" w:rsidP="006374E6">
      <w:pPr>
        <w:rPr>
          <w:rFonts w:ascii="Times New Roman" w:hAnsi="Times New Roman" w:cs="Times New Roman"/>
          <w:b/>
          <w:sz w:val="28"/>
          <w:szCs w:val="28"/>
        </w:rPr>
      </w:pPr>
      <w:r w:rsidRPr="006374E6">
        <w:rPr>
          <w:rFonts w:ascii="Times New Roman" w:hAnsi="Times New Roman" w:cs="Times New Roman"/>
          <w:b/>
          <w:sz w:val="28"/>
          <w:szCs w:val="28"/>
        </w:rPr>
        <w:lastRenderedPageBreak/>
        <w:t>Введение</w:t>
      </w:r>
    </w:p>
    <w:p w:rsidR="00D27C42" w:rsidRDefault="007F7600" w:rsidP="007F7600">
      <w:pPr>
        <w:pStyle w:val="2"/>
        <w:shd w:val="clear" w:color="auto" w:fill="FFFFFF"/>
        <w:spacing w:line="390" w:lineRule="atLeast"/>
        <w:rPr>
          <w:b w:val="0"/>
          <w:sz w:val="28"/>
          <w:szCs w:val="28"/>
        </w:rPr>
      </w:pPr>
      <w:r w:rsidRPr="007F7600">
        <w:rPr>
          <w:b w:val="0"/>
          <w:sz w:val="28"/>
          <w:szCs w:val="28"/>
        </w:rPr>
        <w:t>Работа посвящена всестороннему исследованию назначения и принципа действия реле заземления, которое является критически важным защитным аппаратом в высоковольтных электрических цепях тягового подвижного состава. Актуальность данной темы продиктована необходимостью обеспечения высокой эксплуатационной надежности локомотивов и предотвращения тяжелых аварийных ситуаций, вызванных пробоем изоляции силового оборудования на корпус. В условиях постоянного воздействия вибраций, температурных перепадов и загрязнений риск возникновения замыканий на землю в тяговых двигателях или генераторах существенно возрастает, что без надлежащей защиты может привести к возникновению электрической дуги, возгораниям и выходу из строя дорогостоящих узлов. Целью данной работы является детальное изучение конструктивных особенностей и функциональных алгоритмов работы реле заземления для понимания механизмов защиты силовых цепей локомотива. Для достижения поставленной цели в работе решаются задачи по анализу физических принципов обнаружения токов утечки, рассмотрению различных схем включения реле в цепи постоянного и переменного тока, а также изучению процесса взаимодействия реле с системами управления для оперативного снятия нагрузки при аварии. Новизна работы заключается в анализе эволюции защитных устройств от простых электромагнитных механизмов до современных микропроцессорных систем мониторинга изоляции, которые позволяют не только фиксировать факт замыкания, но и диагностировать состояние цепей в режиме реального времени. Содержание работы охватывает такие ключевые темы, как классификация реле заземления по принципу действия, детальное описание конструктивных элементов электромагнитных реле, разбор схем подключения к силовой установке и вспомогательным цепям, порядок срабатывания и сигнализации при возникновении неисправности, а также методики технического обслуживания и проверки параметров срабатывания устройства в деповских условиях. В рамках исследования также рассматриваются вопросы обеспечения электробезопасности обслуживающего персонала за счет своевременного срабатывания системы защиты от замыканий на корпус.</w:t>
      </w:r>
    </w:p>
    <w:p w:rsidR="007F7600" w:rsidRDefault="007F7600" w:rsidP="007F7600">
      <w:pPr>
        <w:pStyle w:val="2"/>
        <w:shd w:val="clear" w:color="auto" w:fill="FFFFFF"/>
        <w:spacing w:line="390" w:lineRule="atLeast"/>
        <w:rPr>
          <w:b w:val="0"/>
          <w:sz w:val="28"/>
          <w:szCs w:val="28"/>
        </w:rPr>
      </w:pPr>
    </w:p>
    <w:p w:rsidR="007F7600" w:rsidRDefault="007F7600" w:rsidP="007F7600">
      <w:pPr>
        <w:pStyle w:val="2"/>
        <w:shd w:val="clear" w:color="auto" w:fill="FFFFFF"/>
        <w:spacing w:line="390" w:lineRule="atLeast"/>
        <w:rPr>
          <w:b w:val="0"/>
          <w:sz w:val="28"/>
          <w:szCs w:val="28"/>
        </w:rPr>
      </w:pPr>
    </w:p>
    <w:p w:rsidR="007F7600" w:rsidRDefault="007F7600" w:rsidP="007F7600">
      <w:pPr>
        <w:pStyle w:val="2"/>
        <w:shd w:val="clear" w:color="auto" w:fill="FFFFFF"/>
        <w:spacing w:line="390" w:lineRule="atLeast"/>
        <w:rPr>
          <w:b w:val="0"/>
          <w:sz w:val="28"/>
          <w:szCs w:val="28"/>
        </w:rPr>
      </w:pPr>
      <w:r w:rsidRPr="007F7600">
        <w:rPr>
          <w:b w:val="0"/>
          <w:sz w:val="28"/>
          <w:szCs w:val="28"/>
        </w:rPr>
        <w:lastRenderedPageBreak/>
        <w:t>участка, но и ведение логов событий для последующего анализа причин неисправности, что делает реле заземления ключевым и высокотехнологичным звеном в обеспечении безопасности современной техносферы.</w:t>
      </w:r>
    </w:p>
    <w:p w:rsidR="007F7600" w:rsidRDefault="007F7600">
      <w:pPr>
        <w:rPr>
          <w:rFonts w:ascii="Times New Roman" w:eastAsia="Times New Roman" w:hAnsi="Times New Roman" w:cs="Times New Roman"/>
          <w:bCs/>
          <w:sz w:val="28"/>
          <w:szCs w:val="28"/>
          <w:lang w:eastAsia="ru-RU"/>
        </w:rPr>
      </w:pPr>
      <w:r>
        <w:rPr>
          <w:b/>
          <w:sz w:val="28"/>
          <w:szCs w:val="28"/>
        </w:rPr>
        <w:br w:type="page"/>
      </w:r>
    </w:p>
    <w:p w:rsidR="00D10849" w:rsidRDefault="00D10849" w:rsidP="00D10849">
      <w:pPr>
        <w:pStyle w:val="2"/>
        <w:shd w:val="clear" w:color="auto" w:fill="FFFFFF"/>
        <w:spacing w:before="0" w:beforeAutospacing="0" w:after="0" w:afterAutospacing="0" w:line="390" w:lineRule="atLeast"/>
        <w:rPr>
          <w:color w:val="000000"/>
          <w:sz w:val="28"/>
          <w:szCs w:val="28"/>
        </w:rPr>
      </w:pPr>
      <w:r w:rsidRPr="00D10849">
        <w:rPr>
          <w:color w:val="000000"/>
          <w:sz w:val="28"/>
          <w:szCs w:val="28"/>
        </w:rPr>
        <w:lastRenderedPageBreak/>
        <w:t>Конструкция и устройство реле заземления</w:t>
      </w:r>
    </w:p>
    <w:p w:rsidR="00D10849" w:rsidRDefault="00D10849" w:rsidP="00D10849">
      <w:pPr>
        <w:pStyle w:val="2"/>
        <w:shd w:val="clear" w:color="auto" w:fill="FFFFFF"/>
        <w:spacing w:before="0" w:beforeAutospacing="0" w:after="0" w:afterAutospacing="0" w:line="390" w:lineRule="atLeast"/>
        <w:rPr>
          <w:color w:val="000000"/>
          <w:sz w:val="28"/>
          <w:szCs w:val="28"/>
        </w:rPr>
      </w:pPr>
    </w:p>
    <w:p w:rsidR="00D10849" w:rsidRPr="00D10849" w:rsidRDefault="00D10849" w:rsidP="00D10849">
      <w:pPr>
        <w:pStyle w:val="2"/>
        <w:shd w:val="clear" w:color="auto" w:fill="FFFFFF"/>
        <w:spacing w:before="0" w:beforeAutospacing="0" w:after="0" w:afterAutospacing="0" w:line="390" w:lineRule="atLeast"/>
        <w:rPr>
          <w:color w:val="000000"/>
          <w:sz w:val="28"/>
          <w:szCs w:val="28"/>
        </w:rPr>
      </w:pPr>
      <w:r w:rsidRPr="00D10849">
        <w:rPr>
          <w:b w:val="0"/>
          <w:color w:val="000000"/>
          <w:sz w:val="28"/>
          <w:szCs w:val="28"/>
        </w:rPr>
        <w:t>Конструктивное исполнение реле заземления определяется его физическим принципом действия, где в наиболее распространенных электромагнитных моделях базовым элементом является магнитопровод, состоящий из неподвижного сердечника и подвижного якоря. На сердечнике располагается включающая катушка, которая служит первичным чувствительным элементом, реагирующим на протекание тока утечки или возникновение потенциала в защищаемой цепи. Важнейшим компонентом является регулировочная пружина, которая удерживает якорь в исходном состоянии и определяет уставку</w:t>
      </w:r>
      <w:bookmarkStart w:id="0" w:name="_GoBack"/>
      <w:bookmarkEnd w:id="0"/>
      <w:r w:rsidRPr="00D10849">
        <w:rPr>
          <w:b w:val="0"/>
          <w:color w:val="000000"/>
          <w:sz w:val="28"/>
          <w:szCs w:val="28"/>
        </w:rPr>
        <w:t xml:space="preserve"> срабатывания устройства, противодействуя магнитному усилию катушки. При превышении заданного порога тока магнитное поле преодолевает сопротивление пружины, притягивая якорь к сердечнику, что приводит в действие контактную группу. Сами контакты разделяются на замыкающие и размыкающие, выполняя функции разрыва цепи питания катушек главных контакторов или формирования сигнала для системы управления о необходимости снятия нагрузки. Для визуального контроля состояния в конструкцию часто включается механический указатель или блинкер, который фиксируется в рабочем положении и требует ручного восстановления, что исключает самопроизвольный запуск оборудования до выяснения причин аварии. В более современных электронных реле заземления основными компонентами выступают измерительные преобразователи, такие как датчики Холла или дифференциальные трансформаторы тока, которые монтируются в корпусе вместе с печатной платой. На плате располагаются блоки фильтрации помех, компараторы, сравнивающие текущий сигнал с эталонным значением, и выходные полупроводниковые ключи или малогабаритные электромагнитные реле. Корпус устройства выполняется из ударопрочных и диэлектрических материалов, обеспечивающих надежную изоляцию внутренних элементов от внешних воздействий и пыли. В цифровых исполнениях конструкция дополняется микропроцессорным модулем, жидкокристаллическим дисплеем для отображения параметров и интерфейсными портами для передачи данных в общестанционную сеть. Несмотря на различия в элементной базе, все компоненты работают в строгой иерархии, где первичный датчик воспринимает отклонение параметров, логическая часть принимает решение о характере неисправности, а исполнительный механизм обеспечивает </w:t>
      </w:r>
      <w:r w:rsidRPr="00D10849">
        <w:rPr>
          <w:b w:val="0"/>
          <w:color w:val="000000"/>
          <w:sz w:val="28"/>
          <w:szCs w:val="28"/>
        </w:rPr>
        <w:lastRenderedPageBreak/>
        <w:t>физическое размыкание цепей управления, предотвращая развитие аварийного процесса и обеспечивая сохранность силовой установки.</w:t>
      </w:r>
    </w:p>
    <w:p w:rsidR="00D10849" w:rsidRDefault="00D10849">
      <w:pPr>
        <w:rPr>
          <w:rFonts w:ascii="Times New Roman" w:eastAsia="Times New Roman" w:hAnsi="Times New Roman" w:cs="Times New Roman"/>
          <w:bCs/>
          <w:sz w:val="28"/>
          <w:szCs w:val="28"/>
          <w:lang w:eastAsia="ru-RU"/>
        </w:rPr>
      </w:pPr>
      <w:r>
        <w:rPr>
          <w:b/>
          <w:sz w:val="28"/>
          <w:szCs w:val="28"/>
        </w:rPr>
        <w:br w:type="page"/>
      </w:r>
    </w:p>
    <w:p w:rsidR="00D10849" w:rsidRDefault="00D10849" w:rsidP="00D10849">
      <w:pPr>
        <w:pStyle w:val="2"/>
        <w:shd w:val="clear" w:color="auto" w:fill="FFFFFF"/>
        <w:spacing w:before="0" w:beforeAutospacing="0" w:after="0" w:afterAutospacing="0" w:line="390" w:lineRule="atLeast"/>
        <w:rPr>
          <w:color w:val="000000"/>
          <w:sz w:val="27"/>
          <w:szCs w:val="27"/>
        </w:rPr>
      </w:pPr>
      <w:r>
        <w:rPr>
          <w:color w:val="000000"/>
          <w:sz w:val="27"/>
          <w:szCs w:val="27"/>
        </w:rPr>
        <w:lastRenderedPageBreak/>
        <w:t>Принцип работы реле заземления</w:t>
      </w:r>
    </w:p>
    <w:p w:rsidR="00D10849" w:rsidRDefault="00D10849" w:rsidP="007F7600">
      <w:pPr>
        <w:pStyle w:val="2"/>
        <w:shd w:val="clear" w:color="auto" w:fill="FFFFFF"/>
        <w:spacing w:line="390" w:lineRule="atLeast"/>
        <w:rPr>
          <w:b w:val="0"/>
          <w:sz w:val="28"/>
          <w:szCs w:val="28"/>
        </w:rPr>
      </w:pPr>
      <w:r w:rsidRPr="00D10849">
        <w:rPr>
          <w:b w:val="0"/>
          <w:sz w:val="28"/>
          <w:szCs w:val="28"/>
        </w:rPr>
        <w:t>В основе функционирования реле заземления лежит фундаментальный закон электромагнитной индукции и принцип взаимодействия магнитных полей, возникающих при нарушении электрического равновесия системы. Когда в силовой цепи происходит пробой изоляции на корпус или непосредственно на землю, возникает ток утечки, который создает вокруг проводника переменное или постоянное магнитное поле, интенсивность которого прямо пропорциональна величине возникшего повреждения. В электромеханических устройствах этот физический процесс приводит к возникновению магнитодвижущей силы в сердечнике катушки, которая трансформируется в механическую энергию притяжения якоря. Здесь ключевую роль играет пондеромоторное взаимодействие, при котором магнитный поток стремится сократить длину силовых линий, преодолевая сопротивление возвратной пружины и вызывая мгновенное перемещение подвижных элементов. В системах переменного тока работа часто базируется на эффекте суммирования векторов магнитных потоков трех фаз, где в нормальном режиме их геометрическая сумма равна нулю, а появление тока замыкания на землю нарушает эту симметрию, вызывая появление некомпенсированного магнитного потока в магнитопроводе трансформатора тока нулевой последовательности. Этот остаточный поток наводит вторичную электродвижущую силу в измерительной обмотке, запуская дальнейшую цепочку преобразований сигнала. Физика процесса также включает в себя явления гистерезиса и насыщения магнитных материалов, которые учитываются при калибровке устройства для обеспечения селективности и предотвращения ложных срабатываний от пусковых токов или гармонических искажений. В электронных и микропроцессорных устройствах первичным эффектом может выступать падение напряжения на шунте или изменение электромагнитной обстановки, фиксируемое высокочувствительными датчиками, после чего аналоговый сигнал проходит через процессы фильтрации и сравнения с эталонным энергетическим уровнем. Таким образом, работа реле представляет собой непрерывный процесс преобразования энергии из электрической в магнитную, а затем в механическую или цифровую форму, что позволяет с высокой точностью идентифицировать момент возникновения аварийного состояния и инициировать защитное отключение установки.</w:t>
      </w:r>
    </w:p>
    <w:p w:rsidR="00D10849" w:rsidRDefault="00D10849" w:rsidP="00D10849">
      <w:pPr>
        <w:pStyle w:val="2"/>
        <w:shd w:val="clear" w:color="auto" w:fill="FFFFFF"/>
        <w:spacing w:before="0" w:beforeAutospacing="0" w:after="0" w:afterAutospacing="0" w:line="390" w:lineRule="atLeast"/>
        <w:rPr>
          <w:color w:val="000000"/>
          <w:sz w:val="27"/>
          <w:szCs w:val="27"/>
        </w:rPr>
      </w:pPr>
      <w:r>
        <w:rPr>
          <w:color w:val="000000"/>
          <w:sz w:val="27"/>
          <w:szCs w:val="27"/>
        </w:rPr>
        <w:lastRenderedPageBreak/>
        <w:t>Параметры срабатывания различных типов реле</w:t>
      </w:r>
    </w:p>
    <w:p w:rsidR="00D10849" w:rsidRDefault="00D10849" w:rsidP="00D10849">
      <w:pPr>
        <w:pStyle w:val="2"/>
        <w:shd w:val="clear" w:color="auto" w:fill="FFFFFF"/>
        <w:spacing w:before="0" w:beforeAutospacing="0" w:after="0" w:afterAutospacing="0" w:line="390" w:lineRule="atLeast"/>
        <w:rPr>
          <w:color w:val="000000"/>
          <w:sz w:val="27"/>
          <w:szCs w:val="27"/>
        </w:rPr>
      </w:pPr>
    </w:p>
    <w:p w:rsidR="00D10849" w:rsidRPr="00D10849" w:rsidRDefault="00D10849" w:rsidP="00D10849">
      <w:pPr>
        <w:pStyle w:val="2"/>
        <w:shd w:val="clear" w:color="auto" w:fill="FFFFFF"/>
        <w:spacing w:before="0" w:beforeAutospacing="0" w:after="0" w:afterAutospacing="0" w:line="390" w:lineRule="atLeast"/>
        <w:rPr>
          <w:b w:val="0"/>
          <w:color w:val="000000"/>
          <w:sz w:val="27"/>
          <w:szCs w:val="27"/>
        </w:rPr>
      </w:pPr>
      <w:r w:rsidRPr="00D10849">
        <w:rPr>
          <w:b w:val="0"/>
          <w:color w:val="000000"/>
          <w:sz w:val="27"/>
          <w:szCs w:val="27"/>
        </w:rPr>
        <w:t xml:space="preserve">Выбор оптимального реле заземления требует детального анализа токов срабатывания, которые определяют порог чувствительности и общую надежность системы защиты. В современных промышленных и транспортных установках применяются устройства с широким диапазоном уставок, начиная от высокочувствительных электронных моделей и заканчивая классическими электромеханическими приборами. Электромеханические реле, широко распространенные в тяговом подвижном составе, такие как серии РЗ, обычно характеризуются фиксированными или ступенчато регулируемыми токами срабатывания в пределах от двухсот до пятисот миллиампер, что обеспечивает достаточную защиту силовых цепей при прямых пробоях на корпус. Однако их чувствительность ограничена механическим трением и инерционностью системы, что создает зону нечувствительности при возникновении высокоомных замыканий. В отличие от них, микропроцессорные блоки защиты, выпускаемые лидерами рынка вроде Schneider Electric, ABB или Siemens, обладают гораздо более гибкими характеристиками, позволяя устанавливать ток срабатывания в диапазоне от нескольких десятков миллиампер до десятков ампер с высокой дискретностью. Например, устройства серии Vigirex или специализированные модули Sepam позволяют настраивать чувствительность в зависимости от емкостных токов утечки конкретной сети, что критично для систем с изолированной нейтралью, где токи однофазного замыкания на землю могут быть крайне малы. При выборе оборудования важно учитывать коэффициент чувствительности, представляющий собой отношение минимального тока короткого замыкания к току срабатывания реле, который для надежной работы должен составлять не менее полутора единиц. Также критическим параметром является время срабатывания, которое в современных цифровых моделях может регулироваться от мгновенного действия до выдержки в несколько секунд для обеспечения селективности защиты и исключения ложных отключений при переходных процессах. Реле с адаптивными алгоритмами способны изменять порог чувствительности в реальном времени, анализируя гармонический состав тока и отсекая высокочастотные помехи, что делает их предпочтительными для сетей с преобразовательной техникой. Таким образом, для объектов с жесткими требованиями к электробезопасности персонала выбираются модели с токами срабатывания до тридцати миллиампер, в то время как для защиты мощного энергетического оборудования приоритет отдается устройствам с </w:t>
      </w:r>
      <w:r w:rsidRPr="00D10849">
        <w:rPr>
          <w:b w:val="0"/>
          <w:color w:val="000000"/>
          <w:sz w:val="27"/>
          <w:szCs w:val="27"/>
        </w:rPr>
        <w:lastRenderedPageBreak/>
        <w:t>регулируемыми времятоковыми характеристиками и высокой термической стойкостью к токам сквозного короткого замыкания.</w:t>
      </w:r>
    </w:p>
    <w:p w:rsidR="00D10849" w:rsidRPr="00D10849" w:rsidRDefault="00D10849" w:rsidP="00D10849">
      <w:pPr>
        <w:rPr>
          <w:rFonts w:ascii="Times New Roman" w:eastAsia="Times New Roman" w:hAnsi="Times New Roman" w:cs="Times New Roman"/>
          <w:bCs/>
          <w:sz w:val="28"/>
          <w:szCs w:val="28"/>
          <w:lang w:eastAsia="ru-RU"/>
        </w:rPr>
      </w:pPr>
      <w:r w:rsidRPr="00D10849">
        <w:rPr>
          <w:sz w:val="28"/>
          <w:szCs w:val="28"/>
        </w:rPr>
        <w:t xml:space="preserve"> </w:t>
      </w:r>
      <w:r w:rsidRPr="00D10849">
        <w:rPr>
          <w:sz w:val="28"/>
          <w:szCs w:val="28"/>
        </w:rPr>
        <w:br w:type="page"/>
      </w:r>
    </w:p>
    <w:p w:rsidR="00D10849" w:rsidRDefault="00D10849" w:rsidP="00D10849">
      <w:pPr>
        <w:pStyle w:val="2"/>
        <w:shd w:val="clear" w:color="auto" w:fill="FFFFFF"/>
        <w:spacing w:before="0" w:beforeAutospacing="0" w:after="0" w:afterAutospacing="0" w:line="390" w:lineRule="atLeast"/>
        <w:rPr>
          <w:color w:val="000000"/>
          <w:sz w:val="27"/>
          <w:szCs w:val="27"/>
        </w:rPr>
      </w:pPr>
      <w:r>
        <w:rPr>
          <w:color w:val="000000"/>
          <w:sz w:val="27"/>
          <w:szCs w:val="27"/>
        </w:rPr>
        <w:lastRenderedPageBreak/>
        <w:t>Методы регулировки чувствительности и настроек реле</w:t>
      </w:r>
    </w:p>
    <w:p w:rsidR="00D10849" w:rsidRDefault="00D10849" w:rsidP="007F7600">
      <w:pPr>
        <w:pStyle w:val="2"/>
        <w:shd w:val="clear" w:color="auto" w:fill="FFFFFF"/>
        <w:spacing w:line="390" w:lineRule="atLeast"/>
        <w:rPr>
          <w:b w:val="0"/>
          <w:sz w:val="28"/>
          <w:szCs w:val="28"/>
        </w:rPr>
      </w:pPr>
      <w:r w:rsidRPr="00D10849">
        <w:rPr>
          <w:b w:val="0"/>
          <w:sz w:val="28"/>
          <w:szCs w:val="28"/>
        </w:rPr>
        <w:t>Механическая настройка параметров срабатывания электромеханических реле для обеспечения точного реагирования на токи короткого замыкания осуществляется путем изменения физического противодействия подвижных элементов и геометрии магнитного контура устройства. Одним из основных способов регулировки является изменение силы натяжения возвратной пружины, которая удерживает якорь в исходном состоянии, противодействуя силам магнитного притяжения катушки. Путем вращения специальных регулировочных винтов или гаек изменяется степень сжатия или растяжения пружины, что позволяет непосредственно устанавливать порог тока срабатывания: усиление натяжения повышает уставку, требуя большего магнитного потока для преодоления сопротивления, а ослабление делает реле более чувствительным. Параллельно с регулировкой пружины применяется метод изменения величины рабочего воздушного зазора между якорем и полюсным наконечником сердечника. Уменьшение начального зазора приводит к резкому возрастанию электромагнитной силы при тех же значениях тока, что существенно повышает чувствительность прибора к малым токам утечки или коротким замыканиям в начальной стадии. Напротив, увеличение зазора используется для загрубления защиты, чтобы исключить ложные срабатывания от вибраций или пусковых бросков тока. Дополнительная калибровка может включать в себя изменение хода якоря с помощью ограничительных упоров, что влияет на время срабатывания и надежность фиксации контактов. В некоторых моделях также предусмотрена возможность изменения положения самой катушки относительно магнитной системы или использование магнитных шунтов, которые позволяют перераспределять магнитный поток, тем самым корректируя характеристику чувствительности без механического воздействия на пружинный механизм. Все эти манипуляции позволяют добиться прецизионного соответствия параметров реле конкретным условиям эксплуатации энергетической установки, гарантируя своевременную отсечку поврежденного участка цепи при возникновении аварийных режимов.</w:t>
      </w:r>
    </w:p>
    <w:p w:rsidR="00D10849" w:rsidRDefault="00D10849">
      <w:pPr>
        <w:rPr>
          <w:rFonts w:ascii="Times New Roman" w:eastAsia="Times New Roman" w:hAnsi="Times New Roman" w:cs="Times New Roman"/>
          <w:bCs/>
          <w:sz w:val="28"/>
          <w:szCs w:val="28"/>
          <w:lang w:eastAsia="ru-RU"/>
        </w:rPr>
      </w:pPr>
      <w:r>
        <w:rPr>
          <w:b/>
          <w:sz w:val="28"/>
          <w:szCs w:val="28"/>
        </w:rPr>
        <w:br w:type="page"/>
      </w:r>
    </w:p>
    <w:p w:rsidR="00D10849" w:rsidRDefault="00D10849" w:rsidP="00D10849">
      <w:pPr>
        <w:pStyle w:val="2"/>
        <w:shd w:val="clear" w:color="auto" w:fill="FFFFFF"/>
        <w:spacing w:before="0" w:beforeAutospacing="0" w:after="0" w:afterAutospacing="0" w:line="390" w:lineRule="atLeast"/>
        <w:rPr>
          <w:color w:val="000000"/>
          <w:sz w:val="27"/>
          <w:szCs w:val="27"/>
        </w:rPr>
      </w:pPr>
      <w:r>
        <w:rPr>
          <w:color w:val="000000"/>
          <w:sz w:val="27"/>
          <w:szCs w:val="27"/>
        </w:rPr>
        <w:lastRenderedPageBreak/>
        <w:t>Области применения и значимость использования реле заземления</w:t>
      </w:r>
    </w:p>
    <w:p w:rsidR="00180F8E" w:rsidRDefault="00D10849" w:rsidP="007F7600">
      <w:pPr>
        <w:pStyle w:val="2"/>
        <w:shd w:val="clear" w:color="auto" w:fill="FFFFFF"/>
        <w:spacing w:line="390" w:lineRule="atLeast"/>
        <w:rPr>
          <w:b w:val="0"/>
          <w:sz w:val="28"/>
          <w:szCs w:val="28"/>
        </w:rPr>
      </w:pPr>
      <w:r w:rsidRPr="00D10849">
        <w:rPr>
          <w:b w:val="0"/>
          <w:sz w:val="28"/>
          <w:szCs w:val="28"/>
        </w:rPr>
        <w:t>Применение реле заземления в современной электроэнергетике и промышленности является ключевым фактором обеспечения комплексной безопасности и отказоустойчивости систем любой сложности. В сетях высокого и среднего напряжения эти устройства служат основным средством обнаружения однофазных замыканий на землю, позволяя предотвратить перерастание локального повреждения изоляции в масштабную межфазную аварию с катастрофическими последствиями для оборудования подстанций. В промышленном производстве реле заземления активно используются для защиты мощных электродвигателей и технологических установок, где они мгновенно разрывают цепь при возникновении токов утечки на корпус, тем самым исключая риск поражения персонала электрическим током и предотвращая термическое разрушение конструктивных элементов машин. Особо важную роль данные защитные устройства играют в горнодобывающей отрасли и на нефтехимических предприятиях, где работа ведется в условиях повышенной влажности или взрывоопасной атмосферы, и малейшая искра от пробоя на землю может привести к детонации или пожару. На объектах транспортной инфраструктуры, включая электрифицированный железнодорожный транспорт и метрополитен, реле заземления контролируют целостность силовых цепей тяговых подстанций и подвижного состава, обеспечивая электробезопасность пассажиров и надежность систем сигнализации. Внедрение интеллектуальных реле заземления в современные автоматизированные системы управления позволяет не только фиксировать факты аварий, но и вести предиктивный мониторинг состояния изоляции кабельных линий, что существенно снижает затраты на техническое обслуживание за счет перехода к ремонтам по фактическому состоянию. Широкий спектр доступных настроек и возможность работы с различными типами нейтралей делают эти устройства универсальным инструментом защиты в гражданском строительстве, дата-центрах и на объектах возобновляемой энергетики, гарантируя стабильное функционирование критически важной инфраструктуры.</w:t>
      </w:r>
    </w:p>
    <w:p w:rsidR="00180F8E" w:rsidRDefault="00180F8E">
      <w:pPr>
        <w:rPr>
          <w:rFonts w:ascii="Times New Roman" w:eastAsia="Times New Roman" w:hAnsi="Times New Roman" w:cs="Times New Roman"/>
          <w:bCs/>
          <w:sz w:val="28"/>
          <w:szCs w:val="28"/>
          <w:lang w:eastAsia="ru-RU"/>
        </w:rPr>
      </w:pPr>
      <w:r>
        <w:rPr>
          <w:b/>
          <w:sz w:val="28"/>
          <w:szCs w:val="28"/>
        </w:rPr>
        <w:br w:type="page"/>
      </w:r>
    </w:p>
    <w:p w:rsidR="00180F8E" w:rsidRDefault="00180F8E" w:rsidP="00180F8E">
      <w:pPr>
        <w:pStyle w:val="2"/>
        <w:shd w:val="clear" w:color="auto" w:fill="FFFFFF"/>
        <w:spacing w:before="0" w:beforeAutospacing="0" w:after="0" w:afterAutospacing="0" w:line="390" w:lineRule="atLeast"/>
        <w:rPr>
          <w:color w:val="000000"/>
          <w:sz w:val="27"/>
          <w:szCs w:val="27"/>
        </w:rPr>
      </w:pPr>
      <w:r>
        <w:rPr>
          <w:color w:val="000000"/>
          <w:sz w:val="27"/>
          <w:szCs w:val="27"/>
        </w:rPr>
        <w:lastRenderedPageBreak/>
        <w:t>Практическое руководство по эксплуатации и настройке реле заземления</w:t>
      </w:r>
    </w:p>
    <w:p w:rsidR="00180F8E" w:rsidRDefault="00180F8E" w:rsidP="007F7600">
      <w:pPr>
        <w:pStyle w:val="2"/>
        <w:shd w:val="clear" w:color="auto" w:fill="FFFFFF"/>
        <w:spacing w:line="390" w:lineRule="atLeast"/>
        <w:rPr>
          <w:b w:val="0"/>
          <w:sz w:val="28"/>
          <w:szCs w:val="28"/>
        </w:rPr>
      </w:pPr>
      <w:r w:rsidRPr="00180F8E">
        <w:rPr>
          <w:b w:val="0"/>
          <w:sz w:val="28"/>
          <w:szCs w:val="28"/>
        </w:rPr>
        <w:t>Эффективная работа систем релейной защиты начинается с прецизионной настройки параметров на основе тщательных расчетов токов короткого замыкания, что обеспечивает необходимую чувствительность и селективность во всех режимах работы сети. При установке уставок крайне важно учитывать не только аварийные режимы, но и пусковые токи мощных потребителей, чтобы исключить ложные срабатывания, сохраняя при этом минимально возможное время отключения поврежденного участка. Регулярная проверка состояния оборудования должна включать в себя детальный визуальный осмотр на предмет отсутствия следов перегрева, разрушения изоляции или коррозии контактных соединений, а также контроль чистоты внутренних элементов от пыли и загрязнений. Для цифровых терминалов защиты обязательным этапом обслуживания является проверка целостности каналов связи, мониторинг журналов событий и своевременное обновление программного обеспечения для устранения выявленных программных ошибок. В случае применения электромеханических устройств необходимо периодически проверять переходное сопротивление контактов и механическую исправность подвижных частей, проводя калибровку характеристик срабатывания с помощью специализированных испытательных установок. Важным аспектом технического обслуживания является проведение комплексных испытаний методом вторичной инъекции тока, позволяющих сымитировать аварийную ситуацию и убедиться в правильности логики работы всей схемы, включая выходные цепи управления выключателями. Поддержание оптимального температурно-влажностного режима в помещениях щитов управления предотвращает преждевременное старение электронных компонентов и окисление клеммных зажимов. Систематическое ведение журналов проверок и фиксация всех изменений в конфигурации оборудования позволяют отслеживать динамику состояния системы защиты и своевременно планировать модернизацию, что в совокупности гарантирует максимальную надежность и безопасность эксплуатации энергообъектов.</w:t>
      </w:r>
    </w:p>
    <w:p w:rsidR="00180F8E" w:rsidRDefault="00180F8E">
      <w:pPr>
        <w:rPr>
          <w:rFonts w:ascii="Times New Roman" w:eastAsia="Times New Roman" w:hAnsi="Times New Roman" w:cs="Times New Roman"/>
          <w:bCs/>
          <w:sz w:val="28"/>
          <w:szCs w:val="28"/>
          <w:lang w:eastAsia="ru-RU"/>
        </w:rPr>
      </w:pPr>
      <w:r>
        <w:rPr>
          <w:b/>
          <w:sz w:val="28"/>
          <w:szCs w:val="28"/>
        </w:rPr>
        <w:br w:type="page"/>
      </w:r>
    </w:p>
    <w:p w:rsidR="00180F8E" w:rsidRDefault="00180F8E" w:rsidP="00180F8E">
      <w:pPr>
        <w:pStyle w:val="2"/>
        <w:shd w:val="clear" w:color="auto" w:fill="FFFFFF"/>
        <w:spacing w:before="0" w:beforeAutospacing="0" w:after="0" w:afterAutospacing="0" w:line="390" w:lineRule="atLeast"/>
        <w:rPr>
          <w:color w:val="000000"/>
          <w:sz w:val="27"/>
          <w:szCs w:val="27"/>
        </w:rPr>
      </w:pPr>
      <w:r>
        <w:rPr>
          <w:color w:val="000000"/>
          <w:sz w:val="27"/>
          <w:szCs w:val="27"/>
        </w:rPr>
        <w:lastRenderedPageBreak/>
        <w:t>Текущие тенденции развития технологий защитных устройств от замыканий на землю</w:t>
      </w:r>
    </w:p>
    <w:p w:rsidR="00180F8E" w:rsidRDefault="00180F8E" w:rsidP="007F7600">
      <w:pPr>
        <w:pStyle w:val="2"/>
        <w:shd w:val="clear" w:color="auto" w:fill="FFFFFF"/>
        <w:spacing w:line="390" w:lineRule="atLeast"/>
        <w:rPr>
          <w:b w:val="0"/>
          <w:sz w:val="28"/>
          <w:szCs w:val="28"/>
        </w:rPr>
      </w:pPr>
      <w:r w:rsidRPr="00180F8E">
        <w:rPr>
          <w:b w:val="0"/>
          <w:sz w:val="28"/>
          <w:szCs w:val="28"/>
        </w:rPr>
        <w:t>Современный этап развития технологий защиты от замыканий на землю характеризуется глубокой цифровой трансформацией и переходом к концепции интеллектуальных электрических сетей, где традиционные методы дополняются алгоритмами на основе вейвлет-анализа и теории распознавания образов. Внедрение стандарта МЭК 61850 открывает возможности для создания распределенных систем автоматизации, использующих быстрые GOOSE-сообщения для мгновенной локализации поврежденного участка с беспрецедентной точностью. Перспективным направлением является использование технологий машинного обучения и нейронных сетей для анализа высокочастотных составляющих тока и напряжения, что позволяет уверенно идентифицировать дуговые замыкания и перемежающиеся дефекты даже в сетях с компенсированной нейтралью. Умные системы мониторинга обеспечивают непрерывный контроль состояния изоляции в режиме реального времени, используя датчики интернета вещей и облачные платформы для сбора и предиктивного анализа данных о токах утечки. Развитие синхронизированных векторных измерений дает возможность сопоставлять параметры переходных процессов в различных точках сети, формируя целостную картину состояния энергосистемы и позволяя реализовать адаптивные алгоритмы защиты, которые автоматически подстраиваются под изменение топологии сети. Переход к автономным самовосстанавливающимся сетям предполагает интеграцию защитных функций с системами диспетчерского управления, где искусственный интеллект принимает решения об оперативных переключениях для минимизации зон отключения и сокращения времени недоотпуска электроэнергии. Интеграция таких решений значительно повышает операционную эффективность предприятий и минимизирует риски возникновения масштабных аварий, превращая релейную защиту из пассивного инструмента реагирования в активный элемент интеллектуального управления инфраструктурой.</w:t>
      </w:r>
    </w:p>
    <w:p w:rsidR="00180F8E" w:rsidRDefault="00180F8E">
      <w:pPr>
        <w:rPr>
          <w:rFonts w:ascii="Times New Roman" w:eastAsia="Times New Roman" w:hAnsi="Times New Roman" w:cs="Times New Roman"/>
          <w:bCs/>
          <w:sz w:val="28"/>
          <w:szCs w:val="28"/>
          <w:lang w:eastAsia="ru-RU"/>
        </w:rPr>
      </w:pPr>
      <w:r>
        <w:rPr>
          <w:b/>
          <w:sz w:val="28"/>
          <w:szCs w:val="28"/>
        </w:rPr>
        <w:br w:type="page"/>
      </w:r>
    </w:p>
    <w:p w:rsidR="007F7600" w:rsidRPr="00180F8E" w:rsidRDefault="00180F8E" w:rsidP="007F7600">
      <w:pPr>
        <w:pStyle w:val="2"/>
        <w:shd w:val="clear" w:color="auto" w:fill="FFFFFF"/>
        <w:spacing w:line="390" w:lineRule="atLeast"/>
        <w:rPr>
          <w:sz w:val="28"/>
          <w:szCs w:val="28"/>
        </w:rPr>
      </w:pPr>
      <w:r w:rsidRPr="00180F8E">
        <w:rPr>
          <w:sz w:val="28"/>
          <w:szCs w:val="28"/>
        </w:rPr>
        <w:lastRenderedPageBreak/>
        <w:t>Заключение</w:t>
      </w:r>
    </w:p>
    <w:p w:rsidR="00180F8E" w:rsidRPr="007F7600" w:rsidRDefault="00180F8E" w:rsidP="007F7600">
      <w:pPr>
        <w:pStyle w:val="2"/>
        <w:shd w:val="clear" w:color="auto" w:fill="FFFFFF"/>
        <w:spacing w:line="390" w:lineRule="atLeast"/>
        <w:rPr>
          <w:b w:val="0"/>
          <w:sz w:val="28"/>
          <w:szCs w:val="28"/>
        </w:rPr>
      </w:pPr>
      <w:r w:rsidRPr="00180F8E">
        <w:rPr>
          <w:b w:val="0"/>
          <w:sz w:val="28"/>
          <w:szCs w:val="28"/>
        </w:rPr>
        <w:t>В результате проведенного комплексного исследования и анализа современных технологических трендов был сформирован детальный обзор методов защиты от замыканий на землю, подтвердивший высокую эффективность перехода к интеллектуальным системам мониторинга и управления. Проделанная работа позволила выявить ключевые преимущества внедрения адаптивных алгоритмов и цифровых протоколов связи, которые обеспечивают беспрецедентную точность локализации повреждений и минимизируют риски возникновения масштабных аварийных ситуаций. Основные выводы указывают на то, что использование технологий машинного обучения и анализа высокочастотных составляющих является наиболее перспективным путем повышения надежности сетей в условиях их усложнения. Итогом работы стало обоснование необходимости интеграции систем предиктивной диагностики в общую инфраструктуру умных сетей, что позволяет не только оперативно реагировать на инциденты, но и прогнозировать износ оборудования, оптимизируя затраты на его эксплуатацию. Сформулированные результаты могут служить основой для разработки стратегий модернизации энергетических объектов и внедрения инновационных решений в области автоматизации электроснабжения.</w:t>
      </w:r>
    </w:p>
    <w:sectPr w:rsidR="00180F8E" w:rsidRPr="007F7600" w:rsidSect="007F7600">
      <w:footerReference w:type="default" r:id="rId7"/>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EB7" w:rsidRDefault="00F01EB7" w:rsidP="007F7600">
      <w:pPr>
        <w:spacing w:after="0" w:line="240" w:lineRule="auto"/>
      </w:pPr>
      <w:r>
        <w:separator/>
      </w:r>
    </w:p>
  </w:endnote>
  <w:endnote w:type="continuationSeparator" w:id="0">
    <w:p w:rsidR="00F01EB7" w:rsidRDefault="00F01EB7" w:rsidP="007F7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555851"/>
      <w:docPartObj>
        <w:docPartGallery w:val="Page Numbers (Bottom of Page)"/>
        <w:docPartUnique/>
      </w:docPartObj>
    </w:sdtPr>
    <w:sdtEndPr/>
    <w:sdtContent>
      <w:p w:rsidR="007F7600" w:rsidRDefault="007F7600">
        <w:pPr>
          <w:pStyle w:val="a5"/>
          <w:jc w:val="center"/>
        </w:pPr>
        <w:r>
          <w:fldChar w:fldCharType="begin"/>
        </w:r>
        <w:r>
          <w:instrText>PAGE   \* MERGEFORMAT</w:instrText>
        </w:r>
        <w:r>
          <w:fldChar w:fldCharType="separate"/>
        </w:r>
        <w:r w:rsidR="00DB3BBD">
          <w:rPr>
            <w:noProof/>
          </w:rPr>
          <w:t>5</w:t>
        </w:r>
        <w:r>
          <w:fldChar w:fldCharType="end"/>
        </w:r>
      </w:p>
    </w:sdtContent>
  </w:sdt>
  <w:p w:rsidR="007F7600" w:rsidRDefault="007F760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EB7" w:rsidRDefault="00F01EB7" w:rsidP="007F7600">
      <w:pPr>
        <w:spacing w:after="0" w:line="240" w:lineRule="auto"/>
      </w:pPr>
      <w:r>
        <w:separator/>
      </w:r>
    </w:p>
  </w:footnote>
  <w:footnote w:type="continuationSeparator" w:id="0">
    <w:p w:rsidR="00F01EB7" w:rsidRDefault="00F01EB7" w:rsidP="007F76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4E6"/>
    <w:rsid w:val="000E7D36"/>
    <w:rsid w:val="00180F8E"/>
    <w:rsid w:val="00226CDC"/>
    <w:rsid w:val="002F6CEC"/>
    <w:rsid w:val="006374E6"/>
    <w:rsid w:val="006408F1"/>
    <w:rsid w:val="007F7600"/>
    <w:rsid w:val="00A525FA"/>
    <w:rsid w:val="00A82F04"/>
    <w:rsid w:val="00D10849"/>
    <w:rsid w:val="00D27C42"/>
    <w:rsid w:val="00DB3BBD"/>
    <w:rsid w:val="00F01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5C8B3"/>
  <w15:chartTrackingRefBased/>
  <w15:docId w15:val="{AF2AD67F-7C30-4A4D-9CC6-26D2BD53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4E6"/>
  </w:style>
  <w:style w:type="paragraph" w:styleId="2">
    <w:name w:val="heading 2"/>
    <w:basedOn w:val="a"/>
    <w:link w:val="20"/>
    <w:uiPriority w:val="9"/>
    <w:qFormat/>
    <w:rsid w:val="006408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08F1"/>
    <w:rPr>
      <w:rFonts w:ascii="Times New Roman" w:eastAsia="Times New Roman" w:hAnsi="Times New Roman" w:cs="Times New Roman"/>
      <w:b/>
      <w:bCs/>
      <w:sz w:val="36"/>
      <w:szCs w:val="36"/>
      <w:lang w:eastAsia="ru-RU"/>
    </w:rPr>
  </w:style>
  <w:style w:type="paragraph" w:styleId="a3">
    <w:name w:val="header"/>
    <w:basedOn w:val="a"/>
    <w:link w:val="a4"/>
    <w:uiPriority w:val="99"/>
    <w:unhideWhenUsed/>
    <w:rsid w:val="007F76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F7600"/>
  </w:style>
  <w:style w:type="paragraph" w:styleId="a5">
    <w:name w:val="footer"/>
    <w:basedOn w:val="a"/>
    <w:link w:val="a6"/>
    <w:uiPriority w:val="99"/>
    <w:unhideWhenUsed/>
    <w:rsid w:val="007F76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F7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93803">
      <w:bodyDiv w:val="1"/>
      <w:marLeft w:val="0"/>
      <w:marRight w:val="0"/>
      <w:marTop w:val="0"/>
      <w:marBottom w:val="0"/>
      <w:divBdr>
        <w:top w:val="none" w:sz="0" w:space="0" w:color="auto"/>
        <w:left w:val="none" w:sz="0" w:space="0" w:color="auto"/>
        <w:bottom w:val="none" w:sz="0" w:space="0" w:color="auto"/>
        <w:right w:val="none" w:sz="0" w:space="0" w:color="auto"/>
      </w:divBdr>
    </w:div>
    <w:div w:id="205878872">
      <w:bodyDiv w:val="1"/>
      <w:marLeft w:val="0"/>
      <w:marRight w:val="0"/>
      <w:marTop w:val="0"/>
      <w:marBottom w:val="0"/>
      <w:divBdr>
        <w:top w:val="none" w:sz="0" w:space="0" w:color="auto"/>
        <w:left w:val="none" w:sz="0" w:space="0" w:color="auto"/>
        <w:bottom w:val="none" w:sz="0" w:space="0" w:color="auto"/>
        <w:right w:val="none" w:sz="0" w:space="0" w:color="auto"/>
      </w:divBdr>
    </w:div>
    <w:div w:id="242640151">
      <w:bodyDiv w:val="1"/>
      <w:marLeft w:val="0"/>
      <w:marRight w:val="0"/>
      <w:marTop w:val="0"/>
      <w:marBottom w:val="0"/>
      <w:divBdr>
        <w:top w:val="none" w:sz="0" w:space="0" w:color="auto"/>
        <w:left w:val="none" w:sz="0" w:space="0" w:color="auto"/>
        <w:bottom w:val="none" w:sz="0" w:space="0" w:color="auto"/>
        <w:right w:val="none" w:sz="0" w:space="0" w:color="auto"/>
      </w:divBdr>
    </w:div>
    <w:div w:id="352191473">
      <w:bodyDiv w:val="1"/>
      <w:marLeft w:val="0"/>
      <w:marRight w:val="0"/>
      <w:marTop w:val="0"/>
      <w:marBottom w:val="0"/>
      <w:divBdr>
        <w:top w:val="none" w:sz="0" w:space="0" w:color="auto"/>
        <w:left w:val="none" w:sz="0" w:space="0" w:color="auto"/>
        <w:bottom w:val="none" w:sz="0" w:space="0" w:color="auto"/>
        <w:right w:val="none" w:sz="0" w:space="0" w:color="auto"/>
      </w:divBdr>
    </w:div>
    <w:div w:id="450981501">
      <w:bodyDiv w:val="1"/>
      <w:marLeft w:val="0"/>
      <w:marRight w:val="0"/>
      <w:marTop w:val="0"/>
      <w:marBottom w:val="0"/>
      <w:divBdr>
        <w:top w:val="none" w:sz="0" w:space="0" w:color="auto"/>
        <w:left w:val="none" w:sz="0" w:space="0" w:color="auto"/>
        <w:bottom w:val="none" w:sz="0" w:space="0" w:color="auto"/>
        <w:right w:val="none" w:sz="0" w:space="0" w:color="auto"/>
      </w:divBdr>
    </w:div>
    <w:div w:id="582878206">
      <w:bodyDiv w:val="1"/>
      <w:marLeft w:val="0"/>
      <w:marRight w:val="0"/>
      <w:marTop w:val="0"/>
      <w:marBottom w:val="0"/>
      <w:divBdr>
        <w:top w:val="none" w:sz="0" w:space="0" w:color="auto"/>
        <w:left w:val="none" w:sz="0" w:space="0" w:color="auto"/>
        <w:bottom w:val="none" w:sz="0" w:space="0" w:color="auto"/>
        <w:right w:val="none" w:sz="0" w:space="0" w:color="auto"/>
      </w:divBdr>
    </w:div>
    <w:div w:id="803045329">
      <w:bodyDiv w:val="1"/>
      <w:marLeft w:val="0"/>
      <w:marRight w:val="0"/>
      <w:marTop w:val="0"/>
      <w:marBottom w:val="0"/>
      <w:divBdr>
        <w:top w:val="none" w:sz="0" w:space="0" w:color="auto"/>
        <w:left w:val="none" w:sz="0" w:space="0" w:color="auto"/>
        <w:bottom w:val="none" w:sz="0" w:space="0" w:color="auto"/>
        <w:right w:val="none" w:sz="0" w:space="0" w:color="auto"/>
      </w:divBdr>
    </w:div>
    <w:div w:id="1037969706">
      <w:bodyDiv w:val="1"/>
      <w:marLeft w:val="0"/>
      <w:marRight w:val="0"/>
      <w:marTop w:val="0"/>
      <w:marBottom w:val="0"/>
      <w:divBdr>
        <w:top w:val="none" w:sz="0" w:space="0" w:color="auto"/>
        <w:left w:val="none" w:sz="0" w:space="0" w:color="auto"/>
        <w:bottom w:val="none" w:sz="0" w:space="0" w:color="auto"/>
        <w:right w:val="none" w:sz="0" w:space="0" w:color="auto"/>
      </w:divBdr>
    </w:div>
    <w:div w:id="1075467999">
      <w:bodyDiv w:val="1"/>
      <w:marLeft w:val="0"/>
      <w:marRight w:val="0"/>
      <w:marTop w:val="0"/>
      <w:marBottom w:val="0"/>
      <w:divBdr>
        <w:top w:val="none" w:sz="0" w:space="0" w:color="auto"/>
        <w:left w:val="none" w:sz="0" w:space="0" w:color="auto"/>
        <w:bottom w:val="none" w:sz="0" w:space="0" w:color="auto"/>
        <w:right w:val="none" w:sz="0" w:space="0" w:color="auto"/>
      </w:divBdr>
    </w:div>
    <w:div w:id="1104957813">
      <w:bodyDiv w:val="1"/>
      <w:marLeft w:val="0"/>
      <w:marRight w:val="0"/>
      <w:marTop w:val="0"/>
      <w:marBottom w:val="0"/>
      <w:divBdr>
        <w:top w:val="none" w:sz="0" w:space="0" w:color="auto"/>
        <w:left w:val="none" w:sz="0" w:space="0" w:color="auto"/>
        <w:bottom w:val="none" w:sz="0" w:space="0" w:color="auto"/>
        <w:right w:val="none" w:sz="0" w:space="0" w:color="auto"/>
      </w:divBdr>
    </w:div>
    <w:div w:id="1158577256">
      <w:bodyDiv w:val="1"/>
      <w:marLeft w:val="0"/>
      <w:marRight w:val="0"/>
      <w:marTop w:val="0"/>
      <w:marBottom w:val="0"/>
      <w:divBdr>
        <w:top w:val="none" w:sz="0" w:space="0" w:color="auto"/>
        <w:left w:val="none" w:sz="0" w:space="0" w:color="auto"/>
        <w:bottom w:val="none" w:sz="0" w:space="0" w:color="auto"/>
        <w:right w:val="none" w:sz="0" w:space="0" w:color="auto"/>
      </w:divBdr>
    </w:div>
    <w:div w:id="1284993187">
      <w:bodyDiv w:val="1"/>
      <w:marLeft w:val="0"/>
      <w:marRight w:val="0"/>
      <w:marTop w:val="0"/>
      <w:marBottom w:val="0"/>
      <w:divBdr>
        <w:top w:val="none" w:sz="0" w:space="0" w:color="auto"/>
        <w:left w:val="none" w:sz="0" w:space="0" w:color="auto"/>
        <w:bottom w:val="none" w:sz="0" w:space="0" w:color="auto"/>
        <w:right w:val="none" w:sz="0" w:space="0" w:color="auto"/>
      </w:divBdr>
    </w:div>
    <w:div w:id="1404790089">
      <w:bodyDiv w:val="1"/>
      <w:marLeft w:val="0"/>
      <w:marRight w:val="0"/>
      <w:marTop w:val="0"/>
      <w:marBottom w:val="0"/>
      <w:divBdr>
        <w:top w:val="none" w:sz="0" w:space="0" w:color="auto"/>
        <w:left w:val="none" w:sz="0" w:space="0" w:color="auto"/>
        <w:bottom w:val="none" w:sz="0" w:space="0" w:color="auto"/>
        <w:right w:val="none" w:sz="0" w:space="0" w:color="auto"/>
      </w:divBdr>
    </w:div>
    <w:div w:id="1910459994">
      <w:bodyDiv w:val="1"/>
      <w:marLeft w:val="0"/>
      <w:marRight w:val="0"/>
      <w:marTop w:val="0"/>
      <w:marBottom w:val="0"/>
      <w:divBdr>
        <w:top w:val="none" w:sz="0" w:space="0" w:color="auto"/>
        <w:left w:val="none" w:sz="0" w:space="0" w:color="auto"/>
        <w:bottom w:val="none" w:sz="0" w:space="0" w:color="auto"/>
        <w:right w:val="none" w:sz="0" w:space="0" w:color="auto"/>
      </w:divBdr>
    </w:div>
    <w:div w:id="1923175858">
      <w:bodyDiv w:val="1"/>
      <w:marLeft w:val="0"/>
      <w:marRight w:val="0"/>
      <w:marTop w:val="0"/>
      <w:marBottom w:val="0"/>
      <w:divBdr>
        <w:top w:val="none" w:sz="0" w:space="0" w:color="auto"/>
        <w:left w:val="none" w:sz="0" w:space="0" w:color="auto"/>
        <w:bottom w:val="none" w:sz="0" w:space="0" w:color="auto"/>
        <w:right w:val="none" w:sz="0" w:space="0" w:color="auto"/>
      </w:divBdr>
    </w:div>
    <w:div w:id="196742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F9CA2-0943-4AB0-9B79-6466B6BE7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2939</Words>
  <Characters>16757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2025-12-23T16:56:00Z</dcterms:created>
  <dcterms:modified xsi:type="dcterms:W3CDTF">2025-12-23T16:56:00Z</dcterms:modified>
</cp:coreProperties>
</file>