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35047">
      <w:pPr>
        <w:spacing w:line="360" w:lineRule="auto"/>
        <w:jc w:val="center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 xml:space="preserve">ПривГУПС </w:t>
      </w:r>
    </w:p>
    <w:p w14:paraId="1AA15E42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Приволжский государственный университет путей и сообщений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.</w:t>
      </w:r>
    </w:p>
    <w:p w14:paraId="4A249C4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4241134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63001F8B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7A83FC6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179F5448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0ECC7892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45E70F4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4C8110CA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09BB37D1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  <w:t>«ЗАЩИТА ДИЗЕЛЕЙ. СПОСОБЫ ЗАЩИТЫ ДИЗЕЛЕЙ, ПАРАМЕТРЫ ЗАЩИТЫ ДИЗЕЛЕЙ.»</w:t>
      </w:r>
    </w:p>
    <w:p w14:paraId="2871BB9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56520AF5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2E82B246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2E71573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0ABB935B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235B12B0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413F9A0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2E03AAD1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0EF9671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2087B588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Выполнил: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Колупаев Кирилл </w:t>
      </w:r>
    </w:p>
    <w:p w14:paraId="0513D72B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Т-42грпуппа</w:t>
      </w:r>
    </w:p>
    <w:p w14:paraId="4B581BCB">
      <w:pPr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Руководитель: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Муравьев М.А.</w:t>
      </w:r>
    </w:p>
    <w:p w14:paraId="6DE17AB1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627BBAB1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3ADD9BFB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  <w:t>Саратов, 2025 год</w:t>
      </w:r>
    </w:p>
    <w:p w14:paraId="5334E314">
      <w:pPr>
        <w:spacing w:line="360" w:lineRule="auto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aps/>
          <w:color w:val="000000"/>
          <w:sz w:val="28"/>
          <w:szCs w:val="28"/>
        </w:rPr>
        <w:t>Содержание</w:t>
      </w:r>
    </w:p>
    <w:p w14:paraId="20407A03">
      <w:pPr>
        <w:spacing w:line="360" w:lineRule="auto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ВВЕДЕНИЕ.............................................................................................</w:t>
      </w:r>
      <w:r>
        <w:rPr>
          <w:rFonts w:hint="default" w:ascii="Times New Roman" w:hAnsi="Times New Roman"/>
          <w:caps/>
          <w:sz w:val="28"/>
          <w:szCs w:val="28"/>
          <w:lang w:val="ru-RU"/>
        </w:rPr>
        <w:t>.</w:t>
      </w:r>
      <w:r>
        <w:rPr>
          <w:rFonts w:ascii="Times New Roman" w:hAnsi="Times New Roman"/>
          <w:caps/>
          <w:sz w:val="28"/>
          <w:szCs w:val="28"/>
        </w:rPr>
        <w:t xml:space="preserve">3 </w:t>
      </w:r>
    </w:p>
    <w:p w14:paraId="657BF1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/>
          <w:caps/>
          <w:sz w:val="28"/>
          <w:szCs w:val="28"/>
          <w:lang w:val="ru-RU"/>
        </w:rPr>
      </w:pPr>
      <w:r>
        <w:rPr>
          <w:rFonts w:ascii="Times New Roman" w:hAnsi="Times New Roman"/>
          <w:caps/>
          <w:sz w:val="28"/>
          <w:szCs w:val="28"/>
        </w:rPr>
        <w:t>ГЛАВА 1</w:t>
      </w:r>
      <w:r>
        <w:rPr>
          <w:rFonts w:hint="default" w:ascii="Times New Roman" w:hAnsi="Times New Roman"/>
          <w:caps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Виды угроз для дизелей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........................................................3</w:t>
      </w:r>
    </w:p>
    <w:p w14:paraId="0C92429F">
      <w:pPr>
        <w:spacing w:line="36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ГЛАВА 2.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Способы защиты дизелей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.....................................................3</w:t>
      </w:r>
    </w:p>
    <w:p w14:paraId="497DEDD2"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/>
          <w:kern w:val="36"/>
          <w:sz w:val="28"/>
          <w:szCs w:val="28"/>
        </w:rPr>
        <w:t>ГЛАВА 3.</w:t>
      </w:r>
      <w:r>
        <w:rPr>
          <w:rFonts w:ascii="Times New Roman" w:hAnsi="Times New Roman" w:eastAsia="Arial"/>
          <w:b/>
          <w:bCs/>
          <w:kern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Параметры защиты дизелей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.................................................5</w:t>
      </w:r>
    </w:p>
    <w:p w14:paraId="19FA62FC">
      <w:pPr>
        <w:spacing w:line="36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ЗАКЛЮЧЕНИЕ.....................................................................................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</w:p>
    <w:p w14:paraId="2EF546C5">
      <w:pPr>
        <w:spacing w:line="36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СПИСОК ЛИТЕРАТУРЫ..............................................</w:t>
      </w:r>
      <w:r>
        <w:rPr>
          <w:rFonts w:hint="default" w:ascii="Times New Roman" w:hAnsi="Times New Roman"/>
          <w:sz w:val="28"/>
          <w:szCs w:val="28"/>
          <w:lang w:val="ru-RU"/>
        </w:rPr>
        <w:t>....</w:t>
      </w:r>
      <w:r>
        <w:rPr>
          <w:rFonts w:ascii="Times New Roman" w:hAnsi="Times New Roman"/>
          <w:sz w:val="28"/>
          <w:szCs w:val="28"/>
        </w:rPr>
        <w:t>.............</w:t>
      </w:r>
      <w:r>
        <w:rPr>
          <w:rFonts w:hint="default" w:ascii="Times New Roman" w:hAnsi="Times New Roman"/>
          <w:sz w:val="28"/>
          <w:szCs w:val="28"/>
          <w:lang w:val="ru-RU"/>
        </w:rPr>
        <w:t>.......9</w:t>
      </w:r>
    </w:p>
    <w:p w14:paraId="3A07407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1105CA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5B485636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60AC7E9A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7A6AD4C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4E2775EB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6427AD7F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726DCD8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7558978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34CCF0E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6E7F362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651D4ED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0C2A731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779F430B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53D1C8D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22D1012C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5F023716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21E8A919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50842C8E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 w14:paraId="68EF7B4F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p w14:paraId="78B3194B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Введение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.</w:t>
      </w:r>
    </w:p>
    <w:p w14:paraId="579EF8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Дизели являются важной частью многих промышленных и транспортных систем, обеспечивая надежное и эффективное питание для различных машин и механизмов. Однако, как и любое другое оборудование, дизели подвержены различным рискам, которые могут привести к их выходу из строя. В этом докладе мы рассмотрим основные способы защиты дизелей и параметры, которые необходимо учитывать при их защите.</w:t>
      </w:r>
    </w:p>
    <w:p w14:paraId="45BDCF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ГЛАВА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1. Виды угроз для дизелей</w:t>
      </w:r>
    </w:p>
    <w:p w14:paraId="079577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Дизели могут подвергаться различным угрозам, включая:</w:t>
      </w:r>
    </w:p>
    <w:p w14:paraId="56799ECC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• Механические повреждения:</w:t>
      </w:r>
      <w:r>
        <w:rPr>
          <w:rFonts w:hint="default" w:ascii="Times New Roman" w:hAnsi="Times New Roman" w:cs="Times New Roman"/>
          <w:sz w:val="28"/>
          <w:szCs w:val="28"/>
        </w:rPr>
        <w:t xml:space="preserve"> износ деталей, повреждения от внешних факторов.</w:t>
      </w:r>
    </w:p>
    <w:p w14:paraId="24AB64FF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• Температурные аномалии: </w:t>
      </w:r>
      <w:r>
        <w:rPr>
          <w:rFonts w:hint="default" w:ascii="Times New Roman" w:hAnsi="Times New Roman" w:cs="Times New Roman"/>
          <w:sz w:val="28"/>
          <w:szCs w:val="28"/>
        </w:rPr>
        <w:t>перегрев или переохлаждение.</w:t>
      </w:r>
    </w:p>
    <w:p w14:paraId="013381CC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• Качество топлива: </w:t>
      </w:r>
      <w:r>
        <w:rPr>
          <w:rFonts w:hint="default" w:ascii="Times New Roman" w:hAnsi="Times New Roman" w:cs="Times New Roman"/>
          <w:sz w:val="28"/>
          <w:szCs w:val="28"/>
        </w:rPr>
        <w:t>загрязнение топлива, использование некачественного дизельного топлива.</w:t>
      </w:r>
    </w:p>
    <w:p w14:paraId="53F8FE10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• Электрические сбои:</w:t>
      </w:r>
      <w:r>
        <w:rPr>
          <w:rFonts w:hint="default" w:ascii="Times New Roman" w:hAnsi="Times New Roman" w:cs="Times New Roman"/>
          <w:sz w:val="28"/>
          <w:szCs w:val="28"/>
        </w:rPr>
        <w:t xml:space="preserve"> проблемы с системой зажигания и электрооборудованием.</w:t>
      </w:r>
    </w:p>
    <w:p w14:paraId="272AD197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• Коррозия и загрязнение:</w:t>
      </w:r>
      <w:r>
        <w:rPr>
          <w:rFonts w:hint="default" w:ascii="Times New Roman" w:hAnsi="Times New Roman" w:cs="Times New Roman"/>
          <w:sz w:val="28"/>
          <w:szCs w:val="28"/>
        </w:rPr>
        <w:t xml:space="preserve"> воздействие агрессивных сред и отсутствие регулярного обслуживания.</w:t>
      </w:r>
    </w:p>
    <w:p w14:paraId="2D423CC4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ГЛАВА 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2. Способы защиты дизелей</w:t>
      </w:r>
    </w:p>
    <w:p w14:paraId="222901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Для защиты дизелей используются различные способы</w:t>
      </w:r>
      <w:r>
        <w:rPr>
          <w:rFonts w:hint="default" w:ascii="Times New Roman" w:hAnsi="Times New Roman" w:cs="Times New Roman"/>
          <w:sz w:val="28"/>
          <w:szCs w:val="28"/>
        </w:rPr>
        <w:t>, которые предотвращают повреждения в разных ситуациях: снижение давления масла, разнос, перегрев или короткое замыкание. Ниже приведены примеры таких способов. </w:t>
      </w:r>
    </w:p>
    <w:p w14:paraId="5DBDF919">
      <w:pPr>
        <w:spacing w:line="360" w:lineRule="auto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  <w:t>От снижения давления масла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u-RU"/>
        </w:rPr>
        <w:t>.</w:t>
      </w:r>
    </w:p>
    <w:p w14:paraId="1FBAE6F4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Использование реле давления масла. </w:t>
      </w:r>
    </w:p>
    <w:p w14:paraId="6B147E7E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Например:</w:t>
      </w:r>
    </w:p>
    <w:p w14:paraId="0F17ECFF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РДМ1 </w:t>
      </w:r>
      <w:r>
        <w:rPr>
          <w:rFonts w:hint="default" w:ascii="Times New Roman" w:hAnsi="Times New Roman" w:cs="Times New Roman"/>
          <w:sz w:val="28"/>
          <w:szCs w:val="28"/>
        </w:rPr>
        <w:t>— служит для остановки дизеля: при давлении масла ниже 1,6 кгс/см² контакты РДМ1 прекращают питание реле управления РУН, которое разрывает цепь питания катушки тягового электромагнита. Тяговый электромагнит отключается, прекращается подача топлива в цилиндры дизеля, и он останавливается.</w:t>
      </w:r>
    </w:p>
    <w:p w14:paraId="2510713D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Реле РДМ2 </w:t>
      </w:r>
      <w:r>
        <w:rPr>
          <w:rFonts w:hint="default" w:ascii="Times New Roman" w:hAnsi="Times New Roman" w:cs="Times New Roman"/>
          <w:sz w:val="28"/>
          <w:szCs w:val="28"/>
        </w:rPr>
        <w:t>— служит для сброса нагрузки: при снижении давления масла ниже 2,2 кгс/см² контакты РДМ2 размыкают цепь катушки контактора КВ, что приводит к снятию нагрузки.</w:t>
      </w:r>
    </w:p>
    <w:p w14:paraId="5D91549E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Реле РДМЗ</w:t>
      </w:r>
      <w:r>
        <w:rPr>
          <w:rFonts w:hint="default" w:ascii="Times New Roman" w:hAnsi="Times New Roman" w:cs="Times New Roman"/>
          <w:sz w:val="28"/>
          <w:szCs w:val="28"/>
        </w:rPr>
        <w:t xml:space="preserve"> — исключает проворот вала и пуск дизеля при давлении масла ниже 0,25–0,3 кгс/см².</w:t>
      </w:r>
    </w:p>
    <w:p w14:paraId="02C4A152">
      <w:pPr>
        <w:spacing w:line="360" w:lineRule="auto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u w:val="single"/>
        </w:rPr>
        <w:t>От разноса</w:t>
      </w: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u w:val="single"/>
          <w:lang w:val="ru-RU"/>
        </w:rPr>
        <w:t>.</w:t>
      </w:r>
    </w:p>
    <w:p w14:paraId="16A95913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Использование предельного регулятора </w:t>
      </w:r>
      <w:r>
        <w:rPr>
          <w:rFonts w:hint="default" w:ascii="Times New Roman" w:hAnsi="Times New Roman" w:cs="Times New Roman"/>
          <w:sz w:val="28"/>
          <w:szCs w:val="28"/>
        </w:rPr>
        <w:t>— он выключает подачу топлива и останавливает дизель при превышении допустимых чисел оборотов.</w:t>
      </w:r>
    </w:p>
    <w:p w14:paraId="0933500F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Применение предохранительного устройства</w:t>
      </w:r>
      <w:r>
        <w:rPr>
          <w:rFonts w:hint="default" w:ascii="Times New Roman" w:hAnsi="Times New Roman" w:cs="Times New Roman"/>
          <w:sz w:val="28"/>
          <w:szCs w:val="28"/>
        </w:rPr>
        <w:t xml:space="preserve"> — оно перекрывает воздушный трубопровод, прекращает доступ воздуха в цилиндры и тем самым останавливает дизель. Например, на некоторых дизелях во впускном тракте установлена воздушная захлопка, закрывающаяся по сигналу от предельного выключателя.</w:t>
      </w:r>
    </w:p>
    <w:p w14:paraId="7E49C3CD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/>
          <w:b/>
          <w:bCs/>
          <w:sz w:val="28"/>
          <w:szCs w:val="28"/>
        </w:rPr>
        <w:t xml:space="preserve">Установка воздушной заслонки </w:t>
      </w:r>
      <w:r>
        <w:rPr>
          <w:rFonts w:hint="default" w:ascii="Times New Roman" w:hAnsi="Times New Roman"/>
          <w:sz w:val="28"/>
          <w:szCs w:val="28"/>
        </w:rPr>
        <w:t>— она помещается в систему впуска воздуха двигателя, чтобы закрытие заслонки немедленно лишало двигатель кислорода.</w:t>
      </w:r>
    </w:p>
    <w:p w14:paraId="5669E4A1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  <w:t>От перегрева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u-RU"/>
        </w:rPr>
        <w:t>.</w:t>
      </w:r>
    </w:p>
    <w:p w14:paraId="6DE216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 xml:space="preserve">Использование термореле </w:t>
      </w:r>
      <w:r>
        <w:rPr>
          <w:rFonts w:hint="default" w:ascii="Times New Roman" w:hAnsi="Times New Roman"/>
          <w:sz w:val="28"/>
          <w:szCs w:val="28"/>
        </w:rPr>
        <w:t>- они контролируют недопустимый нагрев воды и масла, охлаждающих дизель в тяговом режиме. Например:</w:t>
      </w:r>
    </w:p>
    <w:p w14:paraId="0036C6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Реле ТРВ1</w:t>
      </w:r>
      <w:r>
        <w:rPr>
          <w:rFonts w:hint="default" w:ascii="Times New Roman" w:hAnsi="Times New Roman"/>
          <w:sz w:val="28"/>
          <w:szCs w:val="28"/>
        </w:rPr>
        <w:t xml:space="preserve"> — при нагреве охлаждающей воды на выходе из дизеля до 96 °C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срабатывает реле ТРВ1 и отключает реле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РУ22, которое осуществляет сброс нагрузки.</w:t>
      </w:r>
      <w:r>
        <w:rPr>
          <w:rFonts w:hint="default" w:ascii="Times New Roman" w:hAnsi="Times New Roman" w:cs="Times New Roman"/>
          <w:sz w:val="28"/>
          <w:szCs w:val="28"/>
        </w:rPr>
        <w:t> </w:t>
      </w:r>
    </w:p>
    <w:p w14:paraId="518DCA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Реле ТРМ</w:t>
      </w:r>
      <w:r>
        <w:rPr>
          <w:rFonts w:hint="default" w:ascii="Times New Roman" w:hAnsi="Times New Roman"/>
          <w:sz w:val="28"/>
          <w:szCs w:val="28"/>
        </w:rPr>
        <w:t xml:space="preserve"> — отключает реле РУ22 при нагреве масла на выходе из дизеля до 88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C.</w:t>
      </w:r>
    </w:p>
    <w:p w14:paraId="7E0702A3">
      <w:pPr>
        <w:spacing w:line="360" w:lineRule="auto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  <w:t>От короткого замыкания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u-RU"/>
        </w:rPr>
        <w:t>.</w:t>
      </w:r>
    </w:p>
    <w:p w14:paraId="186241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Использование автоматических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/>
          <w:bCs/>
          <w:sz w:val="28"/>
          <w:szCs w:val="28"/>
        </w:rPr>
        <w:t>выключателей</w:t>
      </w:r>
      <w:r>
        <w:rPr>
          <w:rFonts w:hint="default" w:ascii="Times New Roman" w:hAnsi="Times New Roman"/>
          <w:sz w:val="28"/>
          <w:szCs w:val="28"/>
        </w:rPr>
        <w:t xml:space="preserve"> — они обеспечивают быстрое отключение цепи при коротком замыкании, предотвращая разрушение двигателя и возможный пожар. В зависимости от типа и модели автомата защиты он может использовать различные методы контроля и отключения питания: тепловую, электромагнитную или электронную защиту.</w:t>
      </w:r>
    </w:p>
    <w:p w14:paraId="2C6D3A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Важно:</w:t>
      </w:r>
      <w:r>
        <w:rPr>
          <w:rFonts w:hint="default" w:ascii="Times New Roman" w:hAnsi="Times New Roman"/>
          <w:sz w:val="28"/>
          <w:szCs w:val="28"/>
        </w:rPr>
        <w:t xml:space="preserve"> даже самая надёжная система защиты требует периодической проверки — необходимо регулярно контролировать корректность срабатывания устройств, проводить осмотр на предмет перегрева, износа и снижения чувствительности, а также тестировать работу датчиков, контактов и соединений.</w:t>
      </w:r>
    </w:p>
    <w:p w14:paraId="21C96911">
      <w:pPr>
        <w:spacing w:line="360" w:lineRule="auto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ГЛАВА 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3. Параметры защиты дизелей</w:t>
      </w:r>
    </w:p>
    <w:p w14:paraId="0BD697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Параметры защиты дизелей</w:t>
      </w:r>
      <w:r>
        <w:rPr>
          <w:rFonts w:hint="default" w:ascii="Times New Roman" w:hAnsi="Times New Roman" w:cs="Times New Roman"/>
          <w:sz w:val="28"/>
          <w:szCs w:val="28"/>
        </w:rPr>
        <w:t xml:space="preserve"> включают требования к устройствам защиты от превышения частоты вращения, пониженного давления масла, перегрева и превышения концентрации вредных веществ в выхлопных газах. Эти параметры закреплены в стандартах и технических условиях на двигатели конкретного типа. </w:t>
      </w:r>
    </w:p>
    <w:p w14:paraId="76661B2F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Ниже приведены примеры требований и устройств защиты по разным параметрам.</w:t>
      </w:r>
    </w:p>
    <w:p w14:paraId="3B27F9D8">
      <w:pPr>
        <w:spacing w:line="360" w:lineRule="auto"/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Частота вращения</w:t>
      </w:r>
    </w:p>
    <w:p w14:paraId="77ABE7AC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0802EF5E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Предельная частота вращения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— максимальная расчётная частота вращения, которую может развивать дизель и приводимое им оборудование без риска повреждения.</w:t>
      </w:r>
    </w:p>
    <w:p w14:paraId="0F9AA85F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Устройство защиты</w:t>
      </w:r>
      <w:r>
        <w:rPr>
          <w:rFonts w:hint="default" w:ascii="Times New Roman" w:hAnsi="Times New Roman" w:cs="Times New Roman"/>
          <w:sz w:val="28"/>
          <w:szCs w:val="28"/>
        </w:rPr>
        <w:t xml:space="preserve"> — комбинация датчика вращения и исполнительных механизмов, которые управляют подачей топлива, впуском воздуха в дизель и системой зажигания при превышении установленной частоты вращения.</w:t>
      </w:r>
    </w:p>
    <w:p w14:paraId="337D9E58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Требования:</w:t>
      </w:r>
    </w:p>
    <w:p w14:paraId="3065FC2B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Устройство защиты должно функционировать при всех режимах работы дизеля.</w:t>
      </w:r>
    </w:p>
    <w:p w14:paraId="2ACBD83C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 срабатывании устройство должно быть заблокировано в положении «Стоп», последующий пуск дизеля требует его разблокирования вручную (допускается для некоторых специальных применений — автоматическое разблокирование).</w:t>
      </w:r>
    </w:p>
    <w:p w14:paraId="557F6C13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Изготовитель дизеля должен указать метод и периодичность проверок функционирования устройства защиты.</w:t>
      </w:r>
    </w:p>
    <w:p w14:paraId="381DDAC1">
      <w:pPr>
        <w:spacing w:line="360" w:lineRule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Давление масла</w:t>
      </w:r>
    </w:p>
    <w:p w14:paraId="01F19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Нормальное давление</w:t>
      </w:r>
      <w:r>
        <w:rPr>
          <w:rFonts w:hint="default" w:ascii="Times New Roman" w:hAnsi="Times New Roman" w:cs="Times New Roman"/>
          <w:sz w:val="28"/>
          <w:szCs w:val="28"/>
        </w:rPr>
        <w:t xml:space="preserve"> — на холостом ходу — примерно 2 бар (0,2 МПа), на высоких оборотах — от 4 до 7 бар. В руководствах по эксплуатации должны быть указаны параметры, соответствующие конкретной модели.   </w:t>
      </w:r>
    </w:p>
    <w:p w14:paraId="2C37540D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Устройства защиты:  </w:t>
      </w:r>
    </w:p>
    <w:p w14:paraId="72937D41"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Датчики давления масла контролируют уровень давления в системе. При его падении ниже допустимого уровня подаётся звуковая и световая сигнализация. Если проблема не устранена, двигатель останавливается автоматически.  </w:t>
      </w:r>
    </w:p>
    <w:p w14:paraId="4B5EB9BC"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Например, в некоторых случаях при падении давления масла ниже 0,05–0,06 МПа происходит остановка двигателя, при падении давления ниже 0,11 МПа — сброс нагрузки с двигателя.   </w:t>
      </w:r>
    </w:p>
    <w:p w14:paraId="44FE8217">
      <w:pPr>
        <w:spacing w:line="360" w:lineRule="auto"/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Температура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</w:p>
    <w:p w14:paraId="659F6044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Превышение температуры охлаждающей воды </w:t>
      </w:r>
      <w:r>
        <w:rPr>
          <w:rFonts w:hint="default" w:ascii="Times New Roman" w:hAnsi="Times New Roman" w:cs="Times New Roman"/>
          <w:sz w:val="28"/>
          <w:szCs w:val="28"/>
        </w:rPr>
        <w:t>— причины: недостаточный поток воды (проблемы с насосами), засорение теплообменников, неисправность термостатов.</w:t>
      </w:r>
    </w:p>
    <w:p w14:paraId="320749B4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Механизм защиты:</w:t>
      </w:r>
      <w:r>
        <w:rPr>
          <w:rFonts w:hint="default" w:ascii="Times New Roman" w:hAnsi="Times New Roman" w:cs="Times New Roman"/>
          <w:sz w:val="28"/>
          <w:szCs w:val="28"/>
        </w:rPr>
        <w:t xml:space="preserve"> температурные датчики контролируют температуру воды. При превышении установленного уровня сигнализация предупреждает оператора, а при критическом уровне возможна остановка двигателя.</w:t>
      </w:r>
    </w:p>
    <w:p w14:paraId="3FA91FA6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Устройство защиты:</w:t>
      </w:r>
      <w:r>
        <w:rPr>
          <w:rFonts w:hint="default" w:ascii="Times New Roman" w:hAnsi="Times New Roman" w:cs="Times New Roman"/>
          <w:sz w:val="28"/>
          <w:szCs w:val="28"/>
        </w:rPr>
        <w:t xml:space="preserve"> в некоторых случаях устанавливают температурное реле, которое при температуре охлаждающей воды более 90°С автоматически снимает нагрузку с дизеля.</w:t>
      </w:r>
    </w:p>
    <w:p w14:paraId="13FC8012">
      <w:pPr>
        <w:spacing w:line="360" w:lineRule="auto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Выхлопные газы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</w:p>
    <w:p w14:paraId="0B23C7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Превышение концентрации вредных веществ в выхлопных газах </w:t>
      </w:r>
      <w:r>
        <w:rPr>
          <w:rFonts w:hint="default" w:ascii="Times New Roman" w:hAnsi="Times New Roman" w:cs="Times New Roman"/>
          <w:sz w:val="28"/>
          <w:szCs w:val="28"/>
        </w:rPr>
        <w:t>— причины: перегрев масла, попадание топлива в масло, чрезмерный износ деталей.</w:t>
      </w:r>
    </w:p>
    <w:p w14:paraId="35B9C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Механизм защиты:</w:t>
      </w:r>
      <w:r>
        <w:rPr>
          <w:rFonts w:hint="default" w:ascii="Times New Roman" w:hAnsi="Times New Roman" w:cs="Times New Roman"/>
          <w:sz w:val="28"/>
          <w:szCs w:val="28"/>
        </w:rPr>
        <w:t xml:space="preserve"> устанавливаются датчики масляного тумана, которые фиксируют концентрацию паров масла. При превышении допустимого уровня подаётся сигнал, а двигатель автоматически останавливается.</w:t>
      </w:r>
    </w:p>
    <w:p w14:paraId="372D2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Требования:</w:t>
      </w:r>
      <w:r>
        <w:rPr>
          <w:rFonts w:hint="default" w:ascii="Times New Roman" w:hAnsi="Times New Roman" w:cs="Times New Roman"/>
          <w:sz w:val="28"/>
          <w:szCs w:val="28"/>
        </w:rPr>
        <w:t xml:space="preserve"> предельные значения нормируемых показателей устанавливаются международными и национальными стандартами. Например, в Российской Федерации нормы и методы определения вредных выбросов судовых дизелей регламентируются ГОСТ Р 51249-99 «Двигатели внутреннего сгорания поршневые. Выбросы вредных веществ с ОГ. Нормы и методы определения» и ГОСТ Р 51250-99 «Двигатели внутреннего сгорания. Дымность отработавших газов. Нормы и методы определения».</w:t>
      </w:r>
    </w:p>
    <w:p w14:paraId="172C05A2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7D5F3773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00A4FF1C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1B5EE392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Заключение</w:t>
      </w:r>
    </w:p>
    <w:p w14:paraId="1A38B8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Защита дизелей — это комплексный процесс, включающий в себя множество методов и технологий. Правильный выбор способов защиты и учет основных параметров помогут значительно увеличить срок службы дизелей, снизить риск аварийных ситуаций и обеспечить их надежную работу в любых условиях. Регулярное техническое обслуживание и мониторинг состояния оборудования также играют ключевую роль в обеспечении его безопасности и эффективности.</w:t>
      </w:r>
    </w:p>
    <w:p w14:paraId="3EA3BF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442CB7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B1095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7873A8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372A9C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3A03B4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9D818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DB187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C9DB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19FBEC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1A0F6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71D24E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C76F2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55E741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82DE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205C6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4048F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5347A3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46A09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745BD4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9865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jc w:val="center"/>
        <w:textAlignment w:val="auto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.</w:t>
      </w:r>
    </w:p>
    <w:p w14:paraId="377E180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96" w:beforeAutospacing="0" w:after="96" w:afterAutospacing="0" w:line="360" w:lineRule="auto"/>
        <w:ind w:left="-360" w:leftChars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Шиманский Р. А.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«Исследование воздействия защитных покрытий поверхности камеры сгорания и внутреннего охлаждения на параметры дизеля» (диссертация, Ленинград, 1983). В работе рассматриваются, например, способы уменьшения теплоотвода из камеры сгорания, повышения термического сопротивления стенок и внутреннего охлаждения.</w:t>
      </w:r>
    </w:p>
    <w:p w14:paraId="52AB769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96" w:afterAutospacing="0" w:line="360" w:lineRule="auto"/>
        <w:ind w:left="-360" w:leftChars="0" w:firstLine="0" w:firstLineChars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5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Семёнов В. К.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«Теплонапряжённость и долговечность цилиндро-поршневой группы судовых дизелей» (М., Транспорт, 1977, 182 с.).</w:t>
      </w:r>
    </w:p>
    <w:p w14:paraId="6F6C7CF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96" w:afterAutospacing="0" w:line="360" w:lineRule="auto"/>
        <w:ind w:left="-360" w:leftChars="0" w:firstLine="0" w:firstLineChars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SimSun" w:cs="Times New Roman"/>
          <w:sz w:val="28"/>
          <w:szCs w:val="28"/>
        </w:rPr>
        <w:instrText xml:space="preserve"> HYPERLINK "https://studopedia.ru/3_194228_zashchita-dizelya.html?ysclid=mja6un38bd660074036" </w:instrText>
      </w:r>
      <w:r>
        <w:rPr>
          <w:rFonts w:hint="default" w:ascii="Times New Roman" w:hAnsi="Times New Roman" w:eastAsia="SimSu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sz w:val="28"/>
          <w:szCs w:val="28"/>
        </w:rPr>
        <w:t>Защита дизеля — Студопедия</w:t>
      </w:r>
      <w:r>
        <w:rPr>
          <w:rFonts w:hint="default" w:ascii="Times New Roman" w:hAnsi="Times New Roman" w:eastAsia="SimSun" w:cs="Times New Roman"/>
          <w:sz w:val="28"/>
          <w:szCs w:val="28"/>
        </w:rPr>
        <w:fldChar w:fldCharType="end"/>
      </w:r>
    </w:p>
    <w:p w14:paraId="586D67C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96" w:afterAutospacing="0" w:line="360" w:lineRule="auto"/>
        <w:ind w:left="-360" w:leftChars="0" w:firstLine="0" w:firstLineChars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SimSun" w:cs="Times New Roman"/>
          <w:sz w:val="28"/>
          <w:szCs w:val="28"/>
        </w:rPr>
        <w:instrText xml:space="preserve"> HYPERLINK "https://vuzlit.com/2200224/proverka_rabotosposobnosti_zaschitnyh_ustroystv_sudovyh_dizeley?ysclid=mja6v17qvr528324928" </w:instrText>
      </w:r>
      <w:r>
        <w:rPr>
          <w:rFonts w:hint="default" w:ascii="Times New Roman" w:hAnsi="Times New Roman" w:eastAsia="SimSu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sz w:val="28"/>
          <w:szCs w:val="28"/>
        </w:rPr>
        <w:t>ПРОВЕРКА РАБОТОСПОСОБНОСТИ ЗАЩИТНЫХ УСТРОЙСТВ СУДОВЫХ ДИЗЕЛЕЙ - Техническое обслуживание судовых дизелей</w:t>
      </w:r>
      <w:r>
        <w:rPr>
          <w:rFonts w:hint="default" w:ascii="Times New Roman" w:hAnsi="Times New Roman" w:eastAsia="SimSun" w:cs="Times New Roman"/>
          <w:sz w:val="28"/>
          <w:szCs w:val="28"/>
        </w:rPr>
        <w:fldChar w:fldCharType="end"/>
      </w:r>
    </w:p>
    <w:p w14:paraId="26E6B29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96" w:afterAutospacing="0" w:line="360" w:lineRule="auto"/>
        <w:ind w:left="-360" w:leftChars="0" w:firstLine="0" w:firstLineChars="0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SimSun" w:cs="Times New Roman"/>
          <w:sz w:val="28"/>
          <w:szCs w:val="28"/>
        </w:rPr>
        <w:instrText xml:space="preserve"> HYPERLINK "https://xn--80aaak3h.xn--p1ai/files/sovettn/chichilanov/disser_Chichilanov.pdf?ysclid=mja6vdsmw4301890989" </w:instrText>
      </w:r>
      <w:r>
        <w:rPr>
          <w:rFonts w:hint="default" w:ascii="Times New Roman" w:hAnsi="Times New Roman" w:eastAsia="SimSu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sz w:val="28"/>
          <w:szCs w:val="28"/>
        </w:rPr>
        <w:t>disser_Chichilanov.pdf</w:t>
      </w:r>
      <w:r>
        <w:rPr>
          <w:rFonts w:hint="default" w:ascii="Times New Roman" w:hAnsi="Times New Roman" w:eastAsia="SimSun" w:cs="Times New Roman"/>
          <w:sz w:val="28"/>
          <w:szCs w:val="28"/>
        </w:rPr>
        <w:fldChar w:fldCharType="end"/>
      </w:r>
    </w:p>
    <w:p w14:paraId="0C312A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rPr>
          <w:rFonts w:ascii="Arial" w:hAnsi="Arial" w:eastAsia="Arial" w:cs="Arial"/>
          <w:sz w:val="19"/>
          <w:szCs w:val="19"/>
        </w:rPr>
      </w:pPr>
    </w:p>
    <w:p w14:paraId="7BFAD2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</w:pPr>
    </w:p>
    <w:sectPr>
      <w:footerReference r:id="rId4" w:type="default"/>
      <w:pgSz w:w="11906" w:h="16838"/>
      <w:pgMar w:top="1440" w:right="1800" w:bottom="1440" w:left="1800" w:header="720" w:footer="720" w:gutter="0"/>
      <w:pgNumType w:fmt="decimal" w:start="3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409C9">
    <w:pPr>
      <w:pStyle w:val="7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A67F1A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A67F1A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F0BF4">
    <w:pPr>
      <w:pStyle w:val="7"/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FA8124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J6cg/5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FA8124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357ACA"/>
    <w:multiLevelType w:val="singleLevel"/>
    <w:tmpl w:val="AD357AC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8EF969D"/>
    <w:multiLevelType w:val="singleLevel"/>
    <w:tmpl w:val="B8EF969D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C0D3E7D1"/>
    <w:multiLevelType w:val="singleLevel"/>
    <w:tmpl w:val="C0D3E7D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F6F6F"/>
    <w:rsid w:val="2A4F6F6F"/>
    <w:rsid w:val="5BFA10F9"/>
    <w:rsid w:val="6D72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2025-12-17T15:01:00Z</dcterms:created>
  <dc:creator>WPS_1717939287</dc:creator>
  <cp:lastModifiedBy>WPS_1717939287</cp:lastModifiedBy>
  <dcterms:modified xsi:type="dcterms:W3CDTF">2025-12-17T15:56:27Z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6656EEAFF7B74B8FBE18807A06346CB2_11</vt:lpwstr>
  </property>
</Properties>
</file>