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7EC" w:rsidRDefault="00BB47EC" w:rsidP="00BB47EC">
      <w:pPr>
        <w:pStyle w:val="1"/>
      </w:pPr>
      <w:bookmarkStart w:id="0" w:name="_Toc434780738"/>
      <w:bookmarkStart w:id="1" w:name="_Toc462254385"/>
      <w:r>
        <w:t xml:space="preserve">Практическая работа № 3 </w:t>
      </w:r>
      <w:r>
        <w:br/>
        <w:t>«</w:t>
      </w:r>
      <w:r w:rsidRPr="006E7404">
        <w:t>Определение натяга, ступенчатости и зазоров коренного вкладыша</w:t>
      </w:r>
      <w:r>
        <w:t>»</w:t>
      </w:r>
      <w:bookmarkEnd w:id="0"/>
      <w:bookmarkEnd w:id="1"/>
    </w:p>
    <w:p w:rsidR="00BB47EC" w:rsidRDefault="00BB47EC" w:rsidP="00BB47EC">
      <w:pPr>
        <w:widowControl w:val="0"/>
        <w:spacing w:after="0" w:line="360" w:lineRule="auto"/>
        <w:ind w:firstLine="709"/>
        <w:jc w:val="both"/>
        <w:rPr>
          <w:rFonts w:ascii="Times New Roman" w:hAnsi="Times New Roman"/>
          <w:b/>
          <w:sz w:val="28"/>
          <w:szCs w:val="28"/>
        </w:rPr>
      </w:pPr>
      <w:r w:rsidRPr="00761011">
        <w:rPr>
          <w:rFonts w:ascii="Times New Roman" w:hAnsi="Times New Roman"/>
          <w:b/>
          <w:sz w:val="28"/>
          <w:szCs w:val="28"/>
        </w:rPr>
        <w:t>Цель работы:</w:t>
      </w:r>
    </w:p>
    <w:p w:rsidR="00BB47EC" w:rsidRPr="00204CF5" w:rsidRDefault="00BB47EC" w:rsidP="00BB47EC">
      <w:pPr>
        <w:widowControl w:val="0"/>
        <w:spacing w:after="0" w:line="360" w:lineRule="auto"/>
        <w:ind w:firstLine="709"/>
        <w:jc w:val="both"/>
        <w:rPr>
          <w:rFonts w:ascii="Times New Roman" w:hAnsi="Times New Roman"/>
          <w:sz w:val="28"/>
          <w:szCs w:val="28"/>
        </w:rPr>
      </w:pPr>
      <w:r w:rsidRPr="00204CF5">
        <w:rPr>
          <w:rFonts w:ascii="Times New Roman" w:hAnsi="Times New Roman"/>
          <w:sz w:val="28"/>
          <w:szCs w:val="28"/>
        </w:rPr>
        <w:t xml:space="preserve">получить практический опыт </w:t>
      </w:r>
      <w:r>
        <w:rPr>
          <w:rFonts w:ascii="Times New Roman" w:hAnsi="Times New Roman"/>
          <w:sz w:val="28"/>
          <w:szCs w:val="28"/>
        </w:rPr>
        <w:t xml:space="preserve">определения натяга, ступенчатости и зазоров коренного вкладыша </w:t>
      </w:r>
      <w:r w:rsidRPr="00831C6B">
        <w:rPr>
          <w:rFonts w:ascii="Times New Roman" w:hAnsi="Times New Roman"/>
          <w:sz w:val="28"/>
          <w:szCs w:val="28"/>
        </w:rPr>
        <w:t>подшипников коленчатого вала дизеля</w:t>
      </w:r>
      <w:r w:rsidRPr="00204CF5">
        <w:rPr>
          <w:rFonts w:ascii="Times New Roman" w:hAnsi="Times New Roman"/>
          <w:sz w:val="28"/>
          <w:szCs w:val="28"/>
        </w:rPr>
        <w:t>;</w:t>
      </w:r>
    </w:p>
    <w:p w:rsidR="00BB47EC" w:rsidRDefault="00BB47EC" w:rsidP="00BB47EC">
      <w:pPr>
        <w:widowControl w:val="0"/>
        <w:spacing w:after="0" w:line="360" w:lineRule="auto"/>
        <w:ind w:firstLine="709"/>
        <w:jc w:val="both"/>
        <w:rPr>
          <w:rFonts w:ascii="Times New Roman" w:hAnsi="Times New Roman"/>
          <w:sz w:val="28"/>
          <w:szCs w:val="28"/>
        </w:rPr>
      </w:pPr>
      <w:r w:rsidRPr="00204CF5">
        <w:rPr>
          <w:rFonts w:ascii="Times New Roman" w:hAnsi="Times New Roman"/>
          <w:sz w:val="28"/>
          <w:szCs w:val="28"/>
        </w:rPr>
        <w:t xml:space="preserve">изучить </w:t>
      </w:r>
      <w:r w:rsidRPr="00831C6B">
        <w:rPr>
          <w:rFonts w:ascii="Times New Roman" w:hAnsi="Times New Roman"/>
          <w:sz w:val="28"/>
          <w:szCs w:val="28"/>
        </w:rPr>
        <w:t>конструкции стенда для определения натяга вкладышей подшипников</w:t>
      </w:r>
      <w:r w:rsidRPr="00204CF5">
        <w:rPr>
          <w:rFonts w:ascii="Times New Roman" w:hAnsi="Times New Roman"/>
          <w:sz w:val="28"/>
          <w:szCs w:val="28"/>
        </w:rPr>
        <w:t>.</w:t>
      </w:r>
    </w:p>
    <w:p w:rsidR="00BB47EC" w:rsidRPr="00204CF5" w:rsidRDefault="00BB47EC" w:rsidP="00BB47EC">
      <w:pPr>
        <w:widowControl w:val="0"/>
        <w:spacing w:after="0" w:line="360" w:lineRule="auto"/>
        <w:ind w:firstLine="709"/>
        <w:jc w:val="both"/>
        <w:rPr>
          <w:rFonts w:ascii="Times New Roman" w:hAnsi="Times New Roman"/>
          <w:sz w:val="28"/>
          <w:szCs w:val="28"/>
        </w:rPr>
      </w:pPr>
      <w:r w:rsidRPr="00D02BF8">
        <w:rPr>
          <w:rFonts w:ascii="Times New Roman" w:hAnsi="Times New Roman"/>
          <w:b/>
          <w:sz w:val="28"/>
          <w:szCs w:val="28"/>
        </w:rPr>
        <w:t>Оборудование:</w:t>
      </w:r>
      <w:r>
        <w:rPr>
          <w:rFonts w:ascii="Times New Roman" w:hAnsi="Times New Roman"/>
          <w:sz w:val="28"/>
          <w:szCs w:val="28"/>
        </w:rPr>
        <w:t xml:space="preserve"> </w:t>
      </w:r>
      <w:r w:rsidRPr="00831C6B">
        <w:rPr>
          <w:rFonts w:ascii="Times New Roman" w:hAnsi="Times New Roman"/>
          <w:sz w:val="28"/>
          <w:szCs w:val="28"/>
        </w:rPr>
        <w:t>коренн</w:t>
      </w:r>
      <w:r>
        <w:rPr>
          <w:rFonts w:ascii="Times New Roman" w:hAnsi="Times New Roman"/>
          <w:sz w:val="28"/>
          <w:szCs w:val="28"/>
        </w:rPr>
        <w:t>ые</w:t>
      </w:r>
      <w:r w:rsidRPr="00831C6B">
        <w:rPr>
          <w:rFonts w:ascii="Times New Roman" w:hAnsi="Times New Roman"/>
          <w:sz w:val="28"/>
          <w:szCs w:val="28"/>
        </w:rPr>
        <w:t xml:space="preserve"> вкладыш</w:t>
      </w:r>
      <w:r>
        <w:rPr>
          <w:rFonts w:ascii="Times New Roman" w:hAnsi="Times New Roman"/>
          <w:sz w:val="28"/>
          <w:szCs w:val="28"/>
        </w:rPr>
        <w:t>и</w:t>
      </w:r>
      <w:r w:rsidRPr="00831C6B">
        <w:rPr>
          <w:rFonts w:ascii="Times New Roman" w:hAnsi="Times New Roman"/>
          <w:sz w:val="28"/>
          <w:szCs w:val="28"/>
        </w:rPr>
        <w:t xml:space="preserve"> подшипников коленчатого вала дизеля</w:t>
      </w:r>
      <w:r>
        <w:rPr>
          <w:rFonts w:ascii="Times New Roman" w:hAnsi="Times New Roman"/>
          <w:sz w:val="28"/>
          <w:szCs w:val="28"/>
        </w:rPr>
        <w:t>,</w:t>
      </w:r>
      <w:r w:rsidRPr="00831C6B">
        <w:rPr>
          <w:rFonts w:ascii="Times New Roman" w:hAnsi="Times New Roman"/>
          <w:sz w:val="28"/>
          <w:szCs w:val="28"/>
        </w:rPr>
        <w:t xml:space="preserve"> </w:t>
      </w:r>
      <w:r>
        <w:rPr>
          <w:rFonts w:ascii="Times New Roman" w:hAnsi="Times New Roman"/>
          <w:sz w:val="28"/>
          <w:szCs w:val="28"/>
        </w:rPr>
        <w:t>стенд типа А448, микрометр, набор щуп,</w:t>
      </w:r>
      <w:r w:rsidRPr="00831C6B">
        <w:rPr>
          <w:rFonts w:ascii="Times New Roman" w:hAnsi="Times New Roman"/>
          <w:sz w:val="28"/>
          <w:szCs w:val="28"/>
        </w:rPr>
        <w:t xml:space="preserve"> краск</w:t>
      </w:r>
      <w:r>
        <w:rPr>
          <w:rFonts w:ascii="Times New Roman" w:hAnsi="Times New Roman"/>
          <w:sz w:val="28"/>
          <w:szCs w:val="28"/>
        </w:rPr>
        <w:t>а.</w:t>
      </w:r>
    </w:p>
    <w:p w:rsidR="00BB47EC" w:rsidRDefault="00BB47EC" w:rsidP="00BB47EC">
      <w:pPr>
        <w:widowControl w:val="0"/>
        <w:spacing w:after="0" w:line="360" w:lineRule="auto"/>
        <w:ind w:firstLine="709"/>
        <w:jc w:val="center"/>
        <w:rPr>
          <w:rFonts w:ascii="Times New Roman" w:hAnsi="Times New Roman"/>
          <w:b/>
          <w:sz w:val="28"/>
          <w:szCs w:val="28"/>
        </w:rPr>
      </w:pPr>
      <w:r>
        <w:rPr>
          <w:noProof/>
          <w:lang w:eastAsia="ru-RU"/>
        </w:rPr>
        <w:drawing>
          <wp:inline distT="0" distB="0" distL="0" distR="0" wp14:anchorId="7A36176F" wp14:editId="082E0506">
            <wp:extent cx="5471079" cy="22479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018" t="31323" r="14330" b="31877"/>
                    <a:stretch/>
                  </pic:blipFill>
                  <pic:spPr bwMode="auto">
                    <a:xfrm>
                      <a:off x="0" y="0"/>
                      <a:ext cx="5483810" cy="2253131"/>
                    </a:xfrm>
                    <a:prstGeom prst="rect">
                      <a:avLst/>
                    </a:prstGeom>
                    <a:ln>
                      <a:noFill/>
                    </a:ln>
                    <a:extLst>
                      <a:ext uri="{53640926-AAD7-44D8-BBD7-CCE9431645EC}">
                        <a14:shadowObscured xmlns:a14="http://schemas.microsoft.com/office/drawing/2010/main"/>
                      </a:ext>
                    </a:extLst>
                  </pic:spPr>
                </pic:pic>
              </a:graphicData>
            </a:graphic>
          </wp:inline>
        </w:drawing>
      </w:r>
    </w:p>
    <w:p w:rsidR="00BB47EC" w:rsidRDefault="00BB47EC" w:rsidP="00BB47EC">
      <w:pPr>
        <w:widowControl w:val="0"/>
        <w:spacing w:after="0" w:line="360" w:lineRule="auto"/>
        <w:ind w:firstLine="709"/>
        <w:jc w:val="center"/>
        <w:rPr>
          <w:rFonts w:ascii="Times New Roman" w:hAnsi="Times New Roman"/>
          <w:b/>
          <w:sz w:val="28"/>
          <w:szCs w:val="28"/>
        </w:rPr>
      </w:pPr>
      <w:r>
        <w:rPr>
          <w:rFonts w:ascii="Times New Roman" w:hAnsi="Times New Roman"/>
          <w:b/>
          <w:sz w:val="28"/>
          <w:szCs w:val="28"/>
        </w:rPr>
        <w:t>Порядок выполнения работы:</w:t>
      </w:r>
    </w:p>
    <w:p w:rsidR="00BB47EC" w:rsidRDefault="00BB47EC" w:rsidP="00BB47EC">
      <w:pPr>
        <w:tabs>
          <w:tab w:val="left" w:pos="993"/>
        </w:tabs>
        <w:spacing w:after="0" w:line="360" w:lineRule="auto"/>
        <w:ind w:firstLine="709"/>
        <w:jc w:val="both"/>
        <w:rPr>
          <w:rFonts w:ascii="Times New Roman" w:hAnsi="Times New Roman"/>
          <w:noProof/>
          <w:sz w:val="28"/>
          <w:szCs w:val="28"/>
        </w:rPr>
      </w:pPr>
      <w:r w:rsidRPr="00831C6B">
        <w:rPr>
          <w:rFonts w:ascii="Times New Roman" w:hAnsi="Times New Roman"/>
          <w:noProof/>
          <w:sz w:val="28"/>
          <w:szCs w:val="28"/>
        </w:rPr>
        <w:t>Для контроля состояния</w:t>
      </w:r>
      <w:r>
        <w:rPr>
          <w:rFonts w:ascii="Times New Roman" w:hAnsi="Times New Roman"/>
          <w:noProof/>
          <w:sz w:val="28"/>
          <w:szCs w:val="28"/>
        </w:rPr>
        <w:t xml:space="preserve"> и определения натяга вкладышей</w:t>
      </w:r>
      <w:r w:rsidRPr="00831C6B">
        <w:rPr>
          <w:rFonts w:ascii="Times New Roman" w:hAnsi="Times New Roman"/>
          <w:noProof/>
          <w:sz w:val="28"/>
          <w:szCs w:val="28"/>
        </w:rPr>
        <w:t xml:space="preserve"> коренных и шатунных подшипников применяют стенд типа А448. Применяемый стенд полностью имитирует положение вкладышей, смонтированных в подшипниках коленчатого вала дизеля. На столе стенда смонтированы две постели, копирующие корпуса коренного и шатунного подшипников коленчатого вала. Крышка  каждой постели тягами связана со штоком воздушного цилиндра, в надпоршневые пространства которого через кран  подводится сжатый воздух, создающий необходимое усилие для обжатия вкладышей, установленных в постелях. Давление воздуха регулируется клапаном  и контролируется манометром. Плотное прилегание вкладышей к постели достигается у вкладышей коренных подшипников при давлении в воздушном цилиндре стола 0,28—0,3 МПа, а у вкладышей шатунных </w:t>
      </w:r>
      <w:r w:rsidRPr="00831C6B">
        <w:rPr>
          <w:rFonts w:ascii="Times New Roman" w:hAnsi="Times New Roman"/>
          <w:noProof/>
          <w:sz w:val="28"/>
          <w:szCs w:val="28"/>
        </w:rPr>
        <w:lastRenderedPageBreak/>
        <w:t>подшипников— при давлении 0,21 МПа. Крышка каждой постели стенда перемешается вверх под давлением воздуха, поступающего под верхний поршень воздушного цилиндра. Рабочая поверхность каждой постели стенда, а также поверхность крышек и оснований постелей  в плоскости разъема должны быть чистыми, без заусенцев и забоин.</w:t>
      </w:r>
    </w:p>
    <w:p w:rsidR="00BB47EC" w:rsidRDefault="00BB47EC" w:rsidP="00BB47EC">
      <w:pPr>
        <w:tabs>
          <w:tab w:val="left" w:pos="993"/>
        </w:tabs>
        <w:spacing w:after="0" w:line="360" w:lineRule="auto"/>
        <w:ind w:firstLine="709"/>
        <w:jc w:val="center"/>
        <w:rPr>
          <w:rFonts w:ascii="Times New Roman" w:hAnsi="Times New Roman"/>
          <w:noProof/>
          <w:sz w:val="28"/>
          <w:szCs w:val="28"/>
        </w:rPr>
      </w:pPr>
      <w:r>
        <w:rPr>
          <w:noProof/>
          <w:lang w:eastAsia="ru-RU"/>
        </w:rPr>
        <w:drawing>
          <wp:inline distT="0" distB="0" distL="0" distR="0" wp14:anchorId="688368DB" wp14:editId="145A83CF">
            <wp:extent cx="5457825" cy="24098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929" t="18383" r="1084" b="21244"/>
                    <a:stretch/>
                  </pic:blipFill>
                  <pic:spPr bwMode="auto">
                    <a:xfrm>
                      <a:off x="0" y="0"/>
                      <a:ext cx="5457262" cy="2409576"/>
                    </a:xfrm>
                    <a:prstGeom prst="rect">
                      <a:avLst/>
                    </a:prstGeom>
                    <a:ln>
                      <a:noFill/>
                    </a:ln>
                    <a:extLst>
                      <a:ext uri="{53640926-AAD7-44D8-BBD7-CCE9431645EC}">
                        <a14:shadowObscured xmlns:a14="http://schemas.microsoft.com/office/drawing/2010/main"/>
                      </a:ext>
                    </a:extLst>
                  </pic:spPr>
                </pic:pic>
              </a:graphicData>
            </a:graphic>
          </wp:inline>
        </w:drawing>
      </w:r>
    </w:p>
    <w:p w:rsidR="00BB47EC" w:rsidRPr="003503E6" w:rsidRDefault="00BB47EC" w:rsidP="00BB47EC">
      <w:pPr>
        <w:tabs>
          <w:tab w:val="left" w:pos="993"/>
        </w:tabs>
        <w:spacing w:after="0" w:line="360" w:lineRule="auto"/>
        <w:ind w:firstLine="709"/>
        <w:jc w:val="center"/>
        <w:rPr>
          <w:rFonts w:ascii="Times New Roman" w:hAnsi="Times New Roman"/>
          <w:noProof/>
          <w:sz w:val="28"/>
          <w:szCs w:val="28"/>
        </w:rPr>
      </w:pPr>
      <w:r w:rsidRPr="003503E6">
        <w:rPr>
          <w:rFonts w:ascii="Times New Roman" w:hAnsi="Times New Roman"/>
          <w:noProof/>
          <w:sz w:val="28"/>
          <w:szCs w:val="28"/>
        </w:rPr>
        <w:t>Предельный износ и ступенчатость вкладышей определяют следующим образом:</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1 Измеряют микрометром толщину вкладышей в средней части в точках а и б. Наименьшая толщина каждого вкладыша принимается за его действительну</w:t>
      </w:r>
      <w:r>
        <w:rPr>
          <w:rFonts w:ascii="Times New Roman" w:hAnsi="Times New Roman"/>
          <w:noProof/>
          <w:sz w:val="28"/>
          <w:szCs w:val="28"/>
        </w:rPr>
        <w:t>ю толщину и фиксируется в таблице 3.1</w:t>
      </w:r>
      <w:r w:rsidRPr="003503E6">
        <w:rPr>
          <w:rFonts w:ascii="Times New Roman" w:hAnsi="Times New Roman"/>
          <w:noProof/>
          <w:sz w:val="28"/>
          <w:szCs w:val="28"/>
        </w:rPr>
        <w:t>.</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 xml:space="preserve">2.  Действительную величину  каждого вкладыша   сравнивают с первона-чальной, выбитой </w:t>
      </w:r>
      <w:r>
        <w:rPr>
          <w:rFonts w:ascii="Times New Roman" w:hAnsi="Times New Roman"/>
          <w:noProof/>
          <w:sz w:val="28"/>
          <w:szCs w:val="28"/>
        </w:rPr>
        <w:t>на</w:t>
      </w:r>
      <w:r w:rsidRPr="003503E6">
        <w:rPr>
          <w:rFonts w:ascii="Times New Roman" w:hAnsi="Times New Roman"/>
          <w:noProof/>
          <w:sz w:val="28"/>
          <w:szCs w:val="28"/>
        </w:rPr>
        <w:t xml:space="preserve"> его холодильнике.  Если износ вкладыша превышает 0,15 мм, то его бракуют.</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3 Находят ступенчатость рабочих вкладышей. За ступенчатость рабочих вкладышей одного вала принимают на</w:t>
      </w:r>
      <w:r>
        <w:rPr>
          <w:rFonts w:ascii="Times New Roman" w:hAnsi="Times New Roman"/>
          <w:noProof/>
          <w:sz w:val="28"/>
          <w:szCs w:val="28"/>
        </w:rPr>
        <w:t>и</w:t>
      </w:r>
      <w:r w:rsidRPr="003503E6">
        <w:rPr>
          <w:rFonts w:ascii="Times New Roman" w:hAnsi="Times New Roman"/>
          <w:noProof/>
          <w:sz w:val="28"/>
          <w:szCs w:val="28"/>
        </w:rPr>
        <w:t>большую величину разности между их толщиной в средней части (для вкладышей одной ремонтной градации).</w:t>
      </w:r>
    </w:p>
    <w:p w:rsidR="00BB47EC"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 xml:space="preserve">Если вкладыши, но своей толщине относятся к различным ремонтным градациям, то </w:t>
      </w:r>
      <w:r>
        <w:rPr>
          <w:rFonts w:ascii="Times New Roman" w:hAnsi="Times New Roman"/>
          <w:noProof/>
          <w:sz w:val="28"/>
          <w:szCs w:val="28"/>
        </w:rPr>
        <w:t>перед подсчетом величины ступен</w:t>
      </w:r>
      <w:r w:rsidRPr="003503E6">
        <w:rPr>
          <w:rFonts w:ascii="Times New Roman" w:hAnsi="Times New Roman"/>
          <w:noProof/>
          <w:sz w:val="28"/>
          <w:szCs w:val="28"/>
        </w:rPr>
        <w:t xml:space="preserve">чатости их приводят к одной градации, преимущественной, для вкладышей данного коленчатого вала. Если действительная величина ступенчатости вкладышей больше допускаемой, то в </w:t>
      </w:r>
      <w:r>
        <w:rPr>
          <w:rFonts w:ascii="Times New Roman" w:hAnsi="Times New Roman"/>
          <w:noProof/>
          <w:sz w:val="28"/>
          <w:szCs w:val="28"/>
        </w:rPr>
        <w:t>таблице</w:t>
      </w:r>
      <w:r w:rsidRPr="003503E6">
        <w:rPr>
          <w:rFonts w:ascii="Times New Roman" w:hAnsi="Times New Roman"/>
          <w:noProof/>
          <w:sz w:val="28"/>
          <w:szCs w:val="28"/>
        </w:rPr>
        <w:t xml:space="preserve"> указывается: а) какие вкладыши следует заменить; </w:t>
      </w:r>
      <w:r w:rsidRPr="003503E6">
        <w:rPr>
          <w:rFonts w:ascii="Times New Roman" w:hAnsi="Times New Roman"/>
          <w:noProof/>
          <w:sz w:val="28"/>
          <w:szCs w:val="28"/>
        </w:rPr>
        <w:lastRenderedPageBreak/>
        <w:t>б) какая при этом должна быть толщина у вновь устанавливаемых. Ступенчатость вкладышей после замены должна быть в пределах нормы и должна удовлетворять ПТР. Для рабочих вкладышей коренных подшипников одного вала, имеющих различные ремонтные градации, ступенчатость следует определять с учетом разницы по толщине вкладышей между градациями 0,25 мм.</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Величину натяга вкладышей проверяют на стенде А448.</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1 Тщательно протирают салфеткой тыльные стороны вкладышей и рабо-чую поверхность постелей стенда, которую покрывают тонким слоем краски.</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2 Помещают парные (нижний и верхний) вкладыши одного подшипника в постели стенда так, чтобы плоскости разъемов постели и вкладышей по возможности совпадали.</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3 Поворачивают рукоятк</w:t>
      </w:r>
      <w:r>
        <w:rPr>
          <w:rFonts w:ascii="Times New Roman" w:hAnsi="Times New Roman"/>
          <w:noProof/>
          <w:sz w:val="28"/>
          <w:szCs w:val="28"/>
        </w:rPr>
        <w:t>у крана в стенде в соответствующее положение и обжима</w:t>
      </w:r>
      <w:r w:rsidRPr="00E059D7">
        <w:rPr>
          <w:rFonts w:ascii="Times New Roman" w:hAnsi="Times New Roman"/>
          <w:noProof/>
          <w:sz w:val="28"/>
          <w:szCs w:val="28"/>
        </w:rPr>
        <w:t>ют</w:t>
      </w:r>
      <w:r w:rsidRPr="003503E6">
        <w:rPr>
          <w:rFonts w:ascii="Times New Roman" w:hAnsi="Times New Roman"/>
          <w:noProof/>
          <w:sz w:val="28"/>
          <w:szCs w:val="28"/>
        </w:rPr>
        <w:t xml:space="preserve"> вкладыши. Плотность прилегания вкладышей к рабочей поверхности постели стенда контролируют обстукиванием по их торцам деревянным молотком. Перемещение вкладышей при этом не допускается. Кроме того, щуп 0,03 мм не должен проходить на глубину более 15 мм между вкладыш</w:t>
      </w:r>
      <w:r>
        <w:rPr>
          <w:rFonts w:ascii="Times New Roman" w:hAnsi="Times New Roman"/>
          <w:noProof/>
          <w:sz w:val="28"/>
          <w:szCs w:val="28"/>
        </w:rPr>
        <w:t xml:space="preserve">ами и постелью, а также </w:t>
      </w:r>
      <w:r w:rsidRPr="003503E6">
        <w:rPr>
          <w:rFonts w:ascii="Times New Roman" w:hAnsi="Times New Roman"/>
          <w:noProof/>
          <w:sz w:val="28"/>
          <w:szCs w:val="28"/>
        </w:rPr>
        <w:t>между стыками вкладышей.</w:t>
      </w:r>
    </w:p>
    <w:p w:rsidR="00BB47EC" w:rsidRPr="003503E6"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 xml:space="preserve">4 Измеряют величину </w:t>
      </w:r>
      <w:r>
        <w:rPr>
          <w:rFonts w:ascii="Times New Roman" w:hAnsi="Times New Roman"/>
          <w:noProof/>
          <w:sz w:val="28"/>
          <w:szCs w:val="28"/>
        </w:rPr>
        <w:t>натяга вкладышей. За натяг вкла</w:t>
      </w:r>
      <w:r w:rsidRPr="003503E6">
        <w:rPr>
          <w:rFonts w:ascii="Times New Roman" w:hAnsi="Times New Roman"/>
          <w:noProof/>
          <w:sz w:val="28"/>
          <w:szCs w:val="28"/>
        </w:rPr>
        <w:t>дыша одного под-шипника принимается суммарная   величина возвышения их торнов над посте-лью подшипника при  условии, что вкладыши плотно прилегают к по</w:t>
      </w:r>
      <w:r>
        <w:rPr>
          <w:rFonts w:ascii="Times New Roman" w:hAnsi="Times New Roman"/>
          <w:noProof/>
          <w:sz w:val="28"/>
          <w:szCs w:val="28"/>
        </w:rPr>
        <w:t>стели. Эта величи</w:t>
      </w:r>
      <w:r w:rsidRPr="003503E6">
        <w:rPr>
          <w:rFonts w:ascii="Times New Roman" w:hAnsi="Times New Roman"/>
          <w:noProof/>
          <w:sz w:val="28"/>
          <w:szCs w:val="28"/>
        </w:rPr>
        <w:t>на должна быть не менее 0,08 мм для коренных  вкладышей и 0,04 мм для шатунных. При контроле на стенде натяг вкладышей опр</w:t>
      </w:r>
      <w:r>
        <w:rPr>
          <w:rFonts w:ascii="Times New Roman" w:hAnsi="Times New Roman"/>
          <w:noProof/>
          <w:sz w:val="28"/>
          <w:szCs w:val="28"/>
        </w:rPr>
        <w:t xml:space="preserve">еделяют по величине суммарного зазора между крышками и  основанием </w:t>
      </w:r>
      <w:r w:rsidRPr="003503E6">
        <w:rPr>
          <w:rFonts w:ascii="Times New Roman" w:hAnsi="Times New Roman"/>
          <w:noProof/>
          <w:sz w:val="28"/>
          <w:szCs w:val="28"/>
        </w:rPr>
        <w:t>постели стенда в плоскости разъема. Зазор измеряют щупом.</w:t>
      </w:r>
    </w:p>
    <w:p w:rsidR="00BB47EC" w:rsidRDefault="00BB47EC" w:rsidP="00BB47EC">
      <w:pPr>
        <w:tabs>
          <w:tab w:val="left" w:pos="993"/>
        </w:tabs>
        <w:spacing w:after="0" w:line="360" w:lineRule="auto"/>
        <w:ind w:firstLine="709"/>
        <w:jc w:val="both"/>
        <w:rPr>
          <w:rFonts w:ascii="Times New Roman" w:hAnsi="Times New Roman"/>
          <w:noProof/>
          <w:sz w:val="28"/>
          <w:szCs w:val="28"/>
        </w:rPr>
      </w:pPr>
      <w:r w:rsidRPr="003503E6">
        <w:rPr>
          <w:rFonts w:ascii="Times New Roman" w:hAnsi="Times New Roman"/>
          <w:noProof/>
          <w:sz w:val="28"/>
          <w:szCs w:val="28"/>
        </w:rPr>
        <w:t>5 Проверяют площадь прилегания   тыльной  части   вкладышей. Для это-го поворотом рукоятки крана выпускают воз¬дух из цилиндра и удаляют вкла-дыши из постели стенда. По отпечатку краски определяют площадь прилегания   тыльной части вкладышей</w:t>
      </w:r>
      <w:r>
        <w:rPr>
          <w:rFonts w:ascii="Times New Roman" w:hAnsi="Times New Roman"/>
          <w:noProof/>
          <w:sz w:val="28"/>
          <w:szCs w:val="28"/>
        </w:rPr>
        <w:t xml:space="preserve">  к рабочей поверхности постели </w:t>
      </w:r>
      <w:r>
        <w:rPr>
          <w:rFonts w:ascii="Times New Roman" w:hAnsi="Times New Roman"/>
          <w:noProof/>
          <w:sz w:val="28"/>
          <w:szCs w:val="28"/>
        </w:rPr>
        <w:lastRenderedPageBreak/>
        <w:t>стенда в про</w:t>
      </w:r>
      <w:r w:rsidRPr="003503E6">
        <w:rPr>
          <w:rFonts w:ascii="Times New Roman" w:hAnsi="Times New Roman"/>
          <w:noProof/>
          <w:sz w:val="28"/>
          <w:szCs w:val="28"/>
        </w:rPr>
        <w:t>центах. Действительные данные натяга и площади прилегания вклад</w:t>
      </w:r>
      <w:r>
        <w:rPr>
          <w:rFonts w:ascii="Times New Roman" w:hAnsi="Times New Roman"/>
          <w:noProof/>
          <w:sz w:val="28"/>
          <w:szCs w:val="28"/>
        </w:rPr>
        <w:t xml:space="preserve">ышей к постели   сравниваются с </w:t>
      </w:r>
      <w:r w:rsidRPr="003503E6">
        <w:rPr>
          <w:rFonts w:ascii="Times New Roman" w:hAnsi="Times New Roman"/>
          <w:noProof/>
          <w:sz w:val="28"/>
          <w:szCs w:val="28"/>
        </w:rPr>
        <w:t>величинами, допу</w:t>
      </w:r>
      <w:r>
        <w:rPr>
          <w:rFonts w:ascii="Times New Roman" w:hAnsi="Times New Roman"/>
          <w:noProof/>
          <w:sz w:val="28"/>
          <w:szCs w:val="28"/>
        </w:rPr>
        <w:t xml:space="preserve">скаемыми  Правилами деповского ремонта </w:t>
      </w:r>
      <w:r w:rsidRPr="003503E6">
        <w:rPr>
          <w:rFonts w:ascii="Times New Roman" w:hAnsi="Times New Roman"/>
          <w:noProof/>
          <w:sz w:val="28"/>
          <w:szCs w:val="28"/>
        </w:rPr>
        <w:t>тепловозов, после чего дается заключение о возможности дальнейшей эксплуатации каждого вкладыша.</w:t>
      </w:r>
    </w:p>
    <w:p w:rsidR="00BB47EC" w:rsidRDefault="00BB47EC" w:rsidP="00BB47EC">
      <w:pPr>
        <w:tabs>
          <w:tab w:val="left" w:pos="993"/>
        </w:tabs>
        <w:spacing w:after="0" w:line="360" w:lineRule="auto"/>
        <w:ind w:firstLine="709"/>
        <w:jc w:val="both"/>
        <w:rPr>
          <w:rFonts w:ascii="Times New Roman" w:hAnsi="Times New Roman"/>
          <w:noProof/>
          <w:sz w:val="28"/>
          <w:szCs w:val="28"/>
        </w:rPr>
      </w:pPr>
    </w:p>
    <w:p w:rsidR="00BB47EC" w:rsidRDefault="00BB47EC" w:rsidP="00BB47EC">
      <w:pPr>
        <w:widowControl w:val="0"/>
        <w:spacing w:after="0" w:line="360" w:lineRule="auto"/>
        <w:ind w:firstLine="709"/>
        <w:jc w:val="center"/>
        <w:rPr>
          <w:rFonts w:ascii="Times New Roman" w:hAnsi="Times New Roman"/>
          <w:b/>
          <w:sz w:val="28"/>
          <w:szCs w:val="28"/>
        </w:rPr>
      </w:pPr>
      <w:r>
        <w:rPr>
          <w:rFonts w:ascii="Times New Roman" w:hAnsi="Times New Roman"/>
          <w:b/>
          <w:sz w:val="28"/>
          <w:szCs w:val="28"/>
        </w:rPr>
        <w:t>Содержание отчёта:</w:t>
      </w:r>
    </w:p>
    <w:p w:rsidR="00BB47EC" w:rsidRDefault="00BB47EC" w:rsidP="00BB47EC">
      <w:pPr>
        <w:pStyle w:val="a3"/>
        <w:numPr>
          <w:ilvl w:val="0"/>
          <w:numId w:val="12"/>
        </w:numPr>
        <w:tabs>
          <w:tab w:val="clear" w:pos="1069"/>
          <w:tab w:val="num"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Описать порядок </w:t>
      </w:r>
      <w:r w:rsidRPr="00C93D16">
        <w:rPr>
          <w:rFonts w:ascii="Times New Roman" w:hAnsi="Times New Roman"/>
          <w:sz w:val="28"/>
          <w:szCs w:val="28"/>
        </w:rPr>
        <w:t>определения натяга, ступенчатости и зазоров коренного вкладыша подшипников коленчатого вала дизеля</w:t>
      </w:r>
      <w:r>
        <w:rPr>
          <w:rFonts w:ascii="Times New Roman" w:hAnsi="Times New Roman"/>
          <w:sz w:val="28"/>
          <w:szCs w:val="28"/>
        </w:rPr>
        <w:t>.</w:t>
      </w:r>
    </w:p>
    <w:p w:rsidR="00BB47EC" w:rsidRPr="00C93D16" w:rsidRDefault="00BB47EC" w:rsidP="00BB47EC">
      <w:pPr>
        <w:pStyle w:val="a3"/>
        <w:numPr>
          <w:ilvl w:val="0"/>
          <w:numId w:val="12"/>
        </w:numPr>
        <w:tabs>
          <w:tab w:val="clear" w:pos="1069"/>
          <w:tab w:val="num" w:pos="993"/>
          <w:tab w:val="num" w:pos="1134"/>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Заполнить таблицу 3</w:t>
      </w:r>
      <w:r w:rsidRPr="00DF422B">
        <w:rPr>
          <w:rFonts w:ascii="Times New Roman" w:hAnsi="Times New Roman"/>
          <w:sz w:val="28"/>
          <w:szCs w:val="28"/>
        </w:rPr>
        <w:t>.1</w:t>
      </w:r>
      <w:r>
        <w:rPr>
          <w:rFonts w:ascii="Times New Roman" w:hAnsi="Times New Roman"/>
          <w:sz w:val="28"/>
          <w:szCs w:val="28"/>
        </w:rPr>
        <w:t>.</w:t>
      </w:r>
    </w:p>
    <w:p w:rsidR="00BB47EC" w:rsidRDefault="00BB47EC" w:rsidP="00BB47EC">
      <w:pPr>
        <w:pStyle w:val="a3"/>
        <w:numPr>
          <w:ilvl w:val="0"/>
          <w:numId w:val="12"/>
        </w:numPr>
        <w:tabs>
          <w:tab w:val="clear" w:pos="1069"/>
          <w:tab w:val="num" w:pos="993"/>
          <w:tab w:val="num"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Сделать вывод </w:t>
      </w:r>
      <w:r w:rsidRPr="008C20A7">
        <w:rPr>
          <w:rFonts w:ascii="Times New Roman" w:hAnsi="Times New Roman"/>
          <w:sz w:val="28"/>
          <w:szCs w:val="28"/>
        </w:rPr>
        <w:t>о возможности дальнейшей эксплуатации каждого вкладыша</w:t>
      </w:r>
      <w:r>
        <w:rPr>
          <w:rFonts w:ascii="Times New Roman" w:hAnsi="Times New Roman"/>
          <w:sz w:val="28"/>
          <w:szCs w:val="28"/>
        </w:rPr>
        <w:t>.</w:t>
      </w:r>
    </w:p>
    <w:p w:rsidR="00BB47EC" w:rsidRPr="00B63037" w:rsidRDefault="00BB47EC" w:rsidP="00BB47EC">
      <w:pPr>
        <w:pStyle w:val="a3"/>
        <w:numPr>
          <w:ilvl w:val="0"/>
          <w:numId w:val="12"/>
        </w:numPr>
        <w:tabs>
          <w:tab w:val="clear" w:pos="1069"/>
          <w:tab w:val="num" w:pos="993"/>
          <w:tab w:val="num" w:pos="1134"/>
        </w:tabs>
        <w:spacing w:after="0" w:line="360" w:lineRule="auto"/>
        <w:ind w:left="0" w:firstLine="709"/>
        <w:jc w:val="both"/>
        <w:rPr>
          <w:rFonts w:ascii="Times New Roman" w:hAnsi="Times New Roman"/>
          <w:sz w:val="28"/>
          <w:szCs w:val="28"/>
        </w:rPr>
      </w:pPr>
      <w:r w:rsidRPr="00B63037">
        <w:rPr>
          <w:rFonts w:ascii="Times New Roman" w:hAnsi="Times New Roman"/>
          <w:sz w:val="28"/>
          <w:szCs w:val="28"/>
        </w:rPr>
        <w:t>Письменн</w:t>
      </w:r>
      <w:r>
        <w:rPr>
          <w:rFonts w:ascii="Times New Roman" w:hAnsi="Times New Roman"/>
          <w:sz w:val="28"/>
          <w:szCs w:val="28"/>
        </w:rPr>
        <w:t>о</w:t>
      </w:r>
      <w:r w:rsidRPr="00B63037">
        <w:rPr>
          <w:rFonts w:ascii="Times New Roman" w:hAnsi="Times New Roman"/>
          <w:sz w:val="28"/>
          <w:szCs w:val="28"/>
        </w:rPr>
        <w:t xml:space="preserve"> ответ</w:t>
      </w:r>
      <w:r>
        <w:rPr>
          <w:rFonts w:ascii="Times New Roman" w:hAnsi="Times New Roman"/>
          <w:sz w:val="28"/>
          <w:szCs w:val="28"/>
        </w:rPr>
        <w:t>ить</w:t>
      </w:r>
      <w:r w:rsidRPr="00B63037">
        <w:rPr>
          <w:rFonts w:ascii="Times New Roman" w:hAnsi="Times New Roman"/>
          <w:sz w:val="28"/>
          <w:szCs w:val="28"/>
        </w:rPr>
        <w:t xml:space="preserve"> на контрольные вопросы.</w:t>
      </w:r>
    </w:p>
    <w:p w:rsidR="00BB47EC" w:rsidRPr="00C82160" w:rsidRDefault="00BB47EC" w:rsidP="00BB47EC">
      <w:pPr>
        <w:spacing w:after="0" w:line="360" w:lineRule="auto"/>
        <w:jc w:val="both"/>
        <w:rPr>
          <w:rFonts w:ascii="Times New Roman" w:hAnsi="Times New Roman"/>
          <w:sz w:val="28"/>
          <w:szCs w:val="28"/>
        </w:rPr>
      </w:pPr>
    </w:p>
    <w:p w:rsidR="00BB47EC" w:rsidRDefault="00BB47EC" w:rsidP="00BB47EC">
      <w:pPr>
        <w:widowControl w:val="0"/>
        <w:spacing w:after="0" w:line="360" w:lineRule="auto"/>
        <w:ind w:firstLine="709"/>
        <w:jc w:val="center"/>
        <w:rPr>
          <w:rFonts w:ascii="Times New Roman" w:hAnsi="Times New Roman"/>
          <w:b/>
          <w:sz w:val="28"/>
          <w:szCs w:val="28"/>
        </w:rPr>
      </w:pPr>
      <w:r>
        <w:rPr>
          <w:rFonts w:ascii="Times New Roman" w:hAnsi="Times New Roman"/>
          <w:b/>
          <w:sz w:val="28"/>
          <w:szCs w:val="28"/>
        </w:rPr>
        <w:t>Контрольные вопросы:</w:t>
      </w:r>
    </w:p>
    <w:p w:rsidR="00BB47EC" w:rsidRPr="00D64A74" w:rsidRDefault="00BB47EC" w:rsidP="00BB47EC">
      <w:pPr>
        <w:pStyle w:val="a3"/>
        <w:numPr>
          <w:ilvl w:val="0"/>
          <w:numId w:val="11"/>
        </w:numPr>
        <w:tabs>
          <w:tab w:val="clear" w:pos="1069"/>
          <w:tab w:val="num" w:pos="993"/>
        </w:tabs>
        <w:spacing w:after="0" w:line="360" w:lineRule="auto"/>
        <w:ind w:left="0" w:firstLine="709"/>
        <w:jc w:val="both"/>
        <w:rPr>
          <w:rFonts w:ascii="Times New Roman" w:hAnsi="Times New Roman"/>
          <w:sz w:val="28"/>
          <w:szCs w:val="28"/>
        </w:rPr>
      </w:pPr>
      <w:r w:rsidRPr="00D64A74">
        <w:rPr>
          <w:rFonts w:ascii="Times New Roman" w:hAnsi="Times New Roman"/>
          <w:sz w:val="28"/>
          <w:szCs w:val="28"/>
        </w:rPr>
        <w:t xml:space="preserve">Для чего необходимо определять </w:t>
      </w:r>
      <w:proofErr w:type="gramStart"/>
      <w:r w:rsidRPr="00D64A74">
        <w:rPr>
          <w:rFonts w:ascii="Times New Roman" w:hAnsi="Times New Roman"/>
          <w:sz w:val="28"/>
          <w:szCs w:val="28"/>
        </w:rPr>
        <w:t>сту</w:t>
      </w:r>
      <w:r>
        <w:rPr>
          <w:rFonts w:ascii="Times New Roman" w:hAnsi="Times New Roman"/>
          <w:sz w:val="28"/>
          <w:szCs w:val="28"/>
        </w:rPr>
        <w:t>пенчатость</w:t>
      </w:r>
      <w:proofErr w:type="gramEnd"/>
      <w:r>
        <w:rPr>
          <w:rFonts w:ascii="Times New Roman" w:hAnsi="Times New Roman"/>
          <w:sz w:val="28"/>
          <w:szCs w:val="28"/>
        </w:rPr>
        <w:t xml:space="preserve"> вкладышей и </w:t>
      </w:r>
      <w:proofErr w:type="gramStart"/>
      <w:r>
        <w:rPr>
          <w:rFonts w:ascii="Times New Roman" w:hAnsi="Times New Roman"/>
          <w:sz w:val="28"/>
          <w:szCs w:val="28"/>
        </w:rPr>
        <w:t>какая</w:t>
      </w:r>
      <w:proofErr w:type="gramEnd"/>
      <w:r>
        <w:rPr>
          <w:rFonts w:ascii="Times New Roman" w:hAnsi="Times New Roman"/>
          <w:sz w:val="28"/>
          <w:szCs w:val="28"/>
        </w:rPr>
        <w:t xml:space="preserve"> до</w:t>
      </w:r>
      <w:r w:rsidRPr="00D64A74">
        <w:rPr>
          <w:rFonts w:ascii="Times New Roman" w:hAnsi="Times New Roman"/>
          <w:sz w:val="28"/>
          <w:szCs w:val="28"/>
        </w:rPr>
        <w:t>пускается ступенчатость вкладышей при всех видах ремонта?</w:t>
      </w:r>
    </w:p>
    <w:p w:rsidR="00BB47EC" w:rsidRPr="00D64A74" w:rsidRDefault="00BB47EC" w:rsidP="00BB47EC">
      <w:pPr>
        <w:pStyle w:val="a3"/>
        <w:numPr>
          <w:ilvl w:val="0"/>
          <w:numId w:val="11"/>
        </w:numPr>
        <w:tabs>
          <w:tab w:val="clear" w:pos="1069"/>
          <w:tab w:val="num" w:pos="993"/>
        </w:tabs>
        <w:spacing w:after="0" w:line="360" w:lineRule="auto"/>
        <w:ind w:left="0" w:firstLine="709"/>
        <w:jc w:val="both"/>
        <w:rPr>
          <w:rFonts w:ascii="Times New Roman" w:hAnsi="Times New Roman"/>
          <w:sz w:val="28"/>
          <w:szCs w:val="28"/>
        </w:rPr>
      </w:pPr>
      <w:r w:rsidRPr="00D64A74">
        <w:rPr>
          <w:rFonts w:ascii="Times New Roman" w:hAnsi="Times New Roman"/>
          <w:sz w:val="28"/>
          <w:szCs w:val="28"/>
        </w:rPr>
        <w:t>Что такое «натяг» вкладышей и для чего он создается?</w:t>
      </w:r>
    </w:p>
    <w:p w:rsidR="00BB47EC" w:rsidRDefault="00BB47EC" w:rsidP="00BB47EC">
      <w:pPr>
        <w:pStyle w:val="a3"/>
        <w:numPr>
          <w:ilvl w:val="0"/>
          <w:numId w:val="11"/>
        </w:numPr>
        <w:tabs>
          <w:tab w:val="clear" w:pos="1069"/>
          <w:tab w:val="num" w:pos="993"/>
        </w:tabs>
        <w:spacing w:after="0" w:line="360" w:lineRule="auto"/>
        <w:ind w:left="0" w:firstLine="709"/>
        <w:jc w:val="both"/>
        <w:rPr>
          <w:rFonts w:ascii="Times New Roman" w:hAnsi="Times New Roman"/>
          <w:sz w:val="28"/>
          <w:szCs w:val="28"/>
        </w:rPr>
      </w:pPr>
      <w:r w:rsidRPr="00D64A74">
        <w:rPr>
          <w:rFonts w:ascii="Times New Roman" w:hAnsi="Times New Roman"/>
          <w:sz w:val="28"/>
          <w:szCs w:val="28"/>
        </w:rPr>
        <w:t>Методы восстановления «натяга».</w:t>
      </w:r>
    </w:p>
    <w:p w:rsidR="00BB47EC" w:rsidRDefault="00BB47EC" w:rsidP="00BB47EC">
      <w:pPr>
        <w:tabs>
          <w:tab w:val="left" w:pos="993"/>
        </w:tabs>
        <w:spacing w:after="0" w:line="360" w:lineRule="auto"/>
        <w:ind w:firstLine="709"/>
        <w:jc w:val="both"/>
        <w:rPr>
          <w:rFonts w:ascii="Times New Roman" w:hAnsi="Times New Roman"/>
          <w:noProof/>
          <w:sz w:val="28"/>
          <w:szCs w:val="28"/>
        </w:rPr>
      </w:pPr>
    </w:p>
    <w:p w:rsidR="00EA7672" w:rsidRPr="00BB47EC" w:rsidRDefault="00EA7672" w:rsidP="00BB47EC">
      <w:bookmarkStart w:id="2" w:name="_GoBack"/>
      <w:bookmarkEnd w:id="2"/>
    </w:p>
    <w:sectPr w:rsidR="00EA7672" w:rsidRPr="00BB4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8430C"/>
    <w:multiLevelType w:val="multilevel"/>
    <w:tmpl w:val="D0FE4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D96584"/>
    <w:multiLevelType w:val="hybridMultilevel"/>
    <w:tmpl w:val="95A0AE48"/>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2F120C"/>
    <w:multiLevelType w:val="multilevel"/>
    <w:tmpl w:val="0036790E"/>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B2D535D"/>
    <w:multiLevelType w:val="multilevel"/>
    <w:tmpl w:val="DA569F6A"/>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02594B"/>
    <w:multiLevelType w:val="hybridMultilevel"/>
    <w:tmpl w:val="A11E7E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4A6FA9"/>
    <w:multiLevelType w:val="hybridMultilevel"/>
    <w:tmpl w:val="95A0AE48"/>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495958"/>
    <w:multiLevelType w:val="hybridMultilevel"/>
    <w:tmpl w:val="2A2C21CE"/>
    <w:lvl w:ilvl="0" w:tplc="8E944AAE">
      <w:start w:val="1"/>
      <w:numFmt w:val="decimal"/>
      <w:lvlText w:val="%1."/>
      <w:lvlJc w:val="left"/>
      <w:pPr>
        <w:tabs>
          <w:tab w:val="num" w:pos="1069"/>
        </w:tabs>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40F12397"/>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8D240A"/>
    <w:multiLevelType w:val="hybridMultilevel"/>
    <w:tmpl w:val="95A0AE48"/>
    <w:lvl w:ilvl="0" w:tplc="8E944AAE">
      <w:start w:val="1"/>
      <w:numFmt w:val="decimal"/>
      <w:lvlText w:val="%1."/>
      <w:lvlJc w:val="left"/>
      <w:pPr>
        <w:tabs>
          <w:tab w:val="num" w:pos="1069"/>
        </w:tabs>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5B330F35"/>
    <w:multiLevelType w:val="multilevel"/>
    <w:tmpl w:val="4FC833C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8432777"/>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5505276"/>
    <w:multiLevelType w:val="multilevel"/>
    <w:tmpl w:val="7AB271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5"/>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E3"/>
    <w:rsid w:val="000D3CE1"/>
    <w:rsid w:val="00274D2B"/>
    <w:rsid w:val="003B6AE3"/>
    <w:rsid w:val="00647902"/>
    <w:rsid w:val="00827E0A"/>
    <w:rsid w:val="008D1055"/>
    <w:rsid w:val="008D6A31"/>
    <w:rsid w:val="009F7C1E"/>
    <w:rsid w:val="00BB47EC"/>
    <w:rsid w:val="00EA7672"/>
    <w:rsid w:val="00F8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31"/>
    <w:rPr>
      <w:rFonts w:ascii="Calibri" w:eastAsia="Times New Roman" w:hAnsi="Calibri" w:cs="Times New Roman"/>
    </w:rPr>
  </w:style>
  <w:style w:type="paragraph" w:styleId="1">
    <w:name w:val="heading 1"/>
    <w:basedOn w:val="a"/>
    <w:next w:val="a"/>
    <w:link w:val="10"/>
    <w:uiPriority w:val="9"/>
    <w:qFormat/>
    <w:rsid w:val="008D6A31"/>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6A31"/>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8D6A31"/>
    <w:pPr>
      <w:ind w:left="720"/>
      <w:contextualSpacing/>
    </w:pPr>
  </w:style>
  <w:style w:type="paragraph" w:styleId="a4">
    <w:name w:val="Balloon Text"/>
    <w:basedOn w:val="a"/>
    <w:link w:val="a5"/>
    <w:uiPriority w:val="99"/>
    <w:semiHidden/>
    <w:unhideWhenUsed/>
    <w:rsid w:val="008D6A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6A31"/>
    <w:rPr>
      <w:rFonts w:ascii="Tahoma" w:eastAsia="Times New Roman" w:hAnsi="Tahoma" w:cs="Tahoma"/>
      <w:sz w:val="16"/>
      <w:szCs w:val="16"/>
    </w:rPr>
  </w:style>
  <w:style w:type="character" w:styleId="a6">
    <w:name w:val="Hyperlink"/>
    <w:basedOn w:val="a0"/>
    <w:uiPriority w:val="99"/>
    <w:unhideWhenUsed/>
    <w:rsid w:val="008D1055"/>
    <w:rPr>
      <w:color w:val="0000FF" w:themeColor="hyperlink"/>
      <w:u w:val="single"/>
    </w:rPr>
  </w:style>
  <w:style w:type="table" w:styleId="a7">
    <w:name w:val="Table Grid"/>
    <w:basedOn w:val="a1"/>
    <w:uiPriority w:val="59"/>
    <w:rsid w:val="000D3C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31"/>
    <w:rPr>
      <w:rFonts w:ascii="Calibri" w:eastAsia="Times New Roman" w:hAnsi="Calibri" w:cs="Times New Roman"/>
    </w:rPr>
  </w:style>
  <w:style w:type="paragraph" w:styleId="1">
    <w:name w:val="heading 1"/>
    <w:basedOn w:val="a"/>
    <w:next w:val="a"/>
    <w:link w:val="10"/>
    <w:uiPriority w:val="9"/>
    <w:qFormat/>
    <w:rsid w:val="008D6A31"/>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6A31"/>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8D6A31"/>
    <w:pPr>
      <w:ind w:left="720"/>
      <w:contextualSpacing/>
    </w:pPr>
  </w:style>
  <w:style w:type="paragraph" w:styleId="a4">
    <w:name w:val="Balloon Text"/>
    <w:basedOn w:val="a"/>
    <w:link w:val="a5"/>
    <w:uiPriority w:val="99"/>
    <w:semiHidden/>
    <w:unhideWhenUsed/>
    <w:rsid w:val="008D6A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6A31"/>
    <w:rPr>
      <w:rFonts w:ascii="Tahoma" w:eastAsia="Times New Roman" w:hAnsi="Tahoma" w:cs="Tahoma"/>
      <w:sz w:val="16"/>
      <w:szCs w:val="16"/>
    </w:rPr>
  </w:style>
  <w:style w:type="character" w:styleId="a6">
    <w:name w:val="Hyperlink"/>
    <w:basedOn w:val="a0"/>
    <w:uiPriority w:val="99"/>
    <w:unhideWhenUsed/>
    <w:rsid w:val="008D1055"/>
    <w:rPr>
      <w:color w:val="0000FF" w:themeColor="hyperlink"/>
      <w:u w:val="single"/>
    </w:rPr>
  </w:style>
  <w:style w:type="table" w:styleId="a7">
    <w:name w:val="Table Grid"/>
    <w:basedOn w:val="a1"/>
    <w:uiPriority w:val="59"/>
    <w:rsid w:val="000D3C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2994">
      <w:bodyDiv w:val="1"/>
      <w:marLeft w:val="0"/>
      <w:marRight w:val="0"/>
      <w:marTop w:val="0"/>
      <w:marBottom w:val="0"/>
      <w:divBdr>
        <w:top w:val="none" w:sz="0" w:space="0" w:color="auto"/>
        <w:left w:val="none" w:sz="0" w:space="0" w:color="auto"/>
        <w:bottom w:val="none" w:sz="0" w:space="0" w:color="auto"/>
        <w:right w:val="none" w:sz="0" w:space="0" w:color="auto"/>
      </w:divBdr>
    </w:div>
    <w:div w:id="4723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8</cp:revision>
  <cp:lastPrinted>2024-01-26T06:43:00Z</cp:lastPrinted>
  <dcterms:created xsi:type="dcterms:W3CDTF">2024-01-16T03:56:00Z</dcterms:created>
  <dcterms:modified xsi:type="dcterms:W3CDTF">2024-02-19T05:03:00Z</dcterms:modified>
</cp:coreProperties>
</file>