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07" w:rsidRDefault="00043707" w:rsidP="00043707">
      <w:pPr>
        <w:pStyle w:val="ConsPlusNormal"/>
        <w:jc w:val="right"/>
        <w:outlineLvl w:val="2"/>
      </w:pPr>
      <w:r>
        <w:t>Приложение N 18</w:t>
      </w:r>
    </w:p>
    <w:p w:rsidR="00043707" w:rsidRDefault="00043707" w:rsidP="00043707">
      <w:pPr>
        <w:pStyle w:val="ConsPlusNormal"/>
        <w:jc w:val="right"/>
      </w:pPr>
      <w:r>
        <w:t>к Инструкции по движению</w:t>
      </w:r>
    </w:p>
    <w:p w:rsidR="00043707" w:rsidRDefault="00043707" w:rsidP="00043707">
      <w:pPr>
        <w:pStyle w:val="ConsPlusNormal"/>
        <w:jc w:val="right"/>
      </w:pPr>
      <w:r>
        <w:t>поездов и маневровой работе</w:t>
      </w:r>
    </w:p>
    <w:p w:rsidR="00043707" w:rsidRDefault="00043707" w:rsidP="00043707">
      <w:pPr>
        <w:pStyle w:val="ConsPlusNormal"/>
        <w:jc w:val="right"/>
      </w:pPr>
      <w:r>
        <w:t>на железнодорожном транспорте</w:t>
      </w:r>
    </w:p>
    <w:p w:rsidR="00043707" w:rsidRDefault="00043707" w:rsidP="00043707">
      <w:pPr>
        <w:pStyle w:val="ConsPlusNormal"/>
        <w:jc w:val="right"/>
      </w:pPr>
      <w:r>
        <w:t>Российской Федерации</w:t>
      </w:r>
    </w:p>
    <w:p w:rsidR="00043707" w:rsidRDefault="00043707" w:rsidP="00043707">
      <w:pPr>
        <w:pStyle w:val="ConsPlusNormal"/>
        <w:ind w:firstLine="540"/>
        <w:jc w:val="both"/>
      </w:pPr>
    </w:p>
    <w:p w:rsidR="00043707" w:rsidRDefault="00043707" w:rsidP="00043707">
      <w:pPr>
        <w:pStyle w:val="ConsPlusTitle"/>
        <w:jc w:val="center"/>
      </w:pPr>
      <w:bookmarkStart w:id="0" w:name="Par7441"/>
      <w:bookmarkEnd w:id="0"/>
      <w:r>
        <w:t>ПОРЯДОК</w:t>
      </w:r>
    </w:p>
    <w:p w:rsidR="00043707" w:rsidRDefault="00043707" w:rsidP="00043707">
      <w:pPr>
        <w:pStyle w:val="ConsPlusTitle"/>
        <w:jc w:val="center"/>
      </w:pPr>
      <w:r>
        <w:t>ПОСТАНОВКИ В ПОЕЗДА ВАГОНОВ С ГРУЗАМИ, ТРЕБУЮЩИМИ ОСОБОЙ</w:t>
      </w:r>
    </w:p>
    <w:p w:rsidR="00043707" w:rsidRDefault="00043707" w:rsidP="00043707">
      <w:pPr>
        <w:pStyle w:val="ConsPlusTitle"/>
        <w:jc w:val="center"/>
      </w:pPr>
      <w:r>
        <w:t xml:space="preserve">ОСТОРОЖНОСТИ, И </w:t>
      </w:r>
      <w:proofErr w:type="gramStart"/>
      <w:r>
        <w:t>СПЕЦИАЛЬНОГО</w:t>
      </w:r>
      <w:proofErr w:type="gramEnd"/>
      <w:r>
        <w:t xml:space="preserve"> ЖЕЛЕЗНОДОРОЖНОГО</w:t>
      </w:r>
    </w:p>
    <w:p w:rsidR="00043707" w:rsidRDefault="00043707" w:rsidP="00043707">
      <w:pPr>
        <w:pStyle w:val="ConsPlusTitle"/>
        <w:jc w:val="center"/>
      </w:pPr>
      <w:r>
        <w:t>ПОДВИЖНОГО СОСТАВА</w:t>
      </w:r>
    </w:p>
    <w:p w:rsidR="00043707" w:rsidRDefault="00043707" w:rsidP="00043707">
      <w:pPr>
        <w:pStyle w:val="ConsPlusNormal"/>
      </w:pPr>
    </w:p>
    <w:p w:rsidR="00043707" w:rsidRDefault="00043707" w:rsidP="00043707">
      <w:pPr>
        <w:pStyle w:val="ConsPlusNormal"/>
        <w:ind w:firstLine="540"/>
        <w:jc w:val="both"/>
      </w:pPr>
      <w:bookmarkStart w:id="1" w:name="_GoBack"/>
      <w:bookmarkEnd w:id="1"/>
    </w:p>
    <w:p w:rsidR="00515ACB" w:rsidRPr="00E83793" w:rsidRDefault="00515ACB" w:rsidP="00515A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793">
        <w:rPr>
          <w:rFonts w:ascii="Times New Roman" w:eastAsia="Times New Roman" w:hAnsi="Times New Roman" w:cs="Times New Roman"/>
          <w:b/>
          <w:sz w:val="28"/>
          <w:szCs w:val="28"/>
        </w:rPr>
        <w:t>Контрольные вопросы:</w:t>
      </w:r>
    </w:p>
    <w:p w:rsidR="00515ACB" w:rsidRPr="007524E9" w:rsidRDefault="00515ACB" w:rsidP="00515ACB">
      <w:pPr>
        <w:pStyle w:val="ConsPlusNormal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7524E9">
        <w:rPr>
          <w:sz w:val="28"/>
          <w:szCs w:val="28"/>
        </w:rPr>
        <w:t xml:space="preserve">1. Какие вагоны запрещается ставить в </w:t>
      </w:r>
      <w:proofErr w:type="spellStart"/>
      <w:r w:rsidRPr="007524E9">
        <w:rPr>
          <w:sz w:val="28"/>
          <w:szCs w:val="28"/>
        </w:rPr>
        <w:t>длинносоставные</w:t>
      </w:r>
      <w:proofErr w:type="spellEnd"/>
      <w:r w:rsidRPr="007524E9">
        <w:rPr>
          <w:sz w:val="28"/>
          <w:szCs w:val="28"/>
        </w:rPr>
        <w:t xml:space="preserve"> поезда?</w:t>
      </w:r>
    </w:p>
    <w:p w:rsidR="00515ACB" w:rsidRPr="007524E9" w:rsidRDefault="00515ACB" w:rsidP="00515ACB">
      <w:pPr>
        <w:pStyle w:val="ConsPlusNormal"/>
        <w:jc w:val="both"/>
        <w:rPr>
          <w:sz w:val="28"/>
          <w:szCs w:val="28"/>
        </w:rPr>
      </w:pPr>
      <w:r w:rsidRPr="007524E9">
        <w:rPr>
          <w:sz w:val="28"/>
          <w:szCs w:val="28"/>
        </w:rPr>
        <w:t xml:space="preserve">    2. Где располагается  вагон с контрольной рамой в составе поезда и почему?</w:t>
      </w:r>
    </w:p>
    <w:p w:rsidR="00515ACB" w:rsidRPr="007524E9" w:rsidRDefault="00515ACB" w:rsidP="00515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    3. Каковы условия перевозке </w:t>
      </w:r>
      <w:proofErr w:type="spellStart"/>
      <w:r w:rsidRPr="007524E9">
        <w:rPr>
          <w:rFonts w:ascii="Times New Roman" w:hAnsi="Times New Roman" w:cs="Times New Roman"/>
          <w:sz w:val="28"/>
          <w:szCs w:val="28"/>
        </w:rPr>
        <w:t>сверхнегабаритного</w:t>
      </w:r>
      <w:proofErr w:type="spellEnd"/>
      <w:r w:rsidRPr="007524E9">
        <w:rPr>
          <w:rFonts w:ascii="Times New Roman" w:hAnsi="Times New Roman" w:cs="Times New Roman"/>
          <w:sz w:val="28"/>
          <w:szCs w:val="28"/>
        </w:rPr>
        <w:t xml:space="preserve"> груза с контрольной рамой в специальном поезде с отдельным локомотивом?</w:t>
      </w:r>
    </w:p>
    <w:p w:rsidR="00515ACB" w:rsidRPr="007524E9" w:rsidRDefault="00515ACB" w:rsidP="00515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     4. Условия  постановки в поезд груженых транспортеров с числом осей 12 и более?</w:t>
      </w:r>
    </w:p>
    <w:p w:rsidR="00515ACB" w:rsidRPr="007524E9" w:rsidRDefault="00515ACB" w:rsidP="00515ACB">
      <w:pPr>
        <w:pStyle w:val="ConsPlusNormal"/>
        <w:jc w:val="both"/>
        <w:rPr>
          <w:sz w:val="28"/>
          <w:szCs w:val="28"/>
        </w:rPr>
      </w:pPr>
      <w:r w:rsidRPr="007524E9">
        <w:rPr>
          <w:sz w:val="28"/>
          <w:szCs w:val="28"/>
        </w:rPr>
        <w:t xml:space="preserve">    5. Кто и в соответствии, с чем осуществляет подготовку специального железнодорожного подвижного состава для следования в нерабочем состоянии?</w:t>
      </w:r>
    </w:p>
    <w:p w:rsidR="00515ACB" w:rsidRPr="007524E9" w:rsidRDefault="00515ACB" w:rsidP="00515ACB">
      <w:pPr>
        <w:pStyle w:val="ConsPlusNormal"/>
        <w:jc w:val="both"/>
        <w:rPr>
          <w:sz w:val="28"/>
          <w:szCs w:val="28"/>
        </w:rPr>
      </w:pPr>
      <w:r w:rsidRPr="007524E9">
        <w:rPr>
          <w:sz w:val="28"/>
          <w:szCs w:val="28"/>
        </w:rPr>
        <w:t xml:space="preserve">   6. Кто назначает комиссию по </w:t>
      </w:r>
      <w:proofErr w:type="gramStart"/>
      <w:r w:rsidRPr="007524E9">
        <w:rPr>
          <w:sz w:val="28"/>
          <w:szCs w:val="28"/>
        </w:rPr>
        <w:t>контролю за</w:t>
      </w:r>
      <w:proofErr w:type="gramEnd"/>
      <w:r w:rsidRPr="007524E9">
        <w:rPr>
          <w:sz w:val="28"/>
          <w:szCs w:val="28"/>
        </w:rPr>
        <w:t xml:space="preserve"> готовностью специального железнодорожного подвижного состава для следования в нерабочем состоянии?</w:t>
      </w:r>
    </w:p>
    <w:p w:rsidR="00515ACB" w:rsidRPr="007524E9" w:rsidRDefault="00515ACB" w:rsidP="00515ACB">
      <w:pPr>
        <w:pStyle w:val="ConsPlusNormal"/>
        <w:jc w:val="both"/>
        <w:rPr>
          <w:sz w:val="28"/>
          <w:szCs w:val="28"/>
        </w:rPr>
      </w:pPr>
      <w:r w:rsidRPr="007524E9">
        <w:rPr>
          <w:sz w:val="28"/>
          <w:szCs w:val="28"/>
        </w:rPr>
        <w:t xml:space="preserve">   7. Как располагаются и в каком количестве электровозы и тепловозы в грузовом поезде, отправляемые в недействующем состоянии?</w:t>
      </w:r>
    </w:p>
    <w:p w:rsidR="00515ACB" w:rsidRPr="007524E9" w:rsidRDefault="00515ACB" w:rsidP="00515ACB">
      <w:pPr>
        <w:pStyle w:val="ConsPlusNormal"/>
        <w:jc w:val="both"/>
        <w:rPr>
          <w:sz w:val="28"/>
          <w:szCs w:val="28"/>
        </w:rPr>
      </w:pPr>
      <w:r w:rsidRPr="007524E9">
        <w:rPr>
          <w:sz w:val="28"/>
          <w:szCs w:val="28"/>
        </w:rPr>
        <w:t xml:space="preserve">   8. Как сформирована сплотка для пересылки вагонов метрополитена</w:t>
      </w:r>
      <w:r w:rsidRPr="007524E9">
        <w:rPr>
          <w:rFonts w:eastAsia="Times New Roman"/>
          <w:sz w:val="28"/>
          <w:szCs w:val="28"/>
        </w:rPr>
        <w:t>?</w:t>
      </w:r>
    </w:p>
    <w:p w:rsidR="00515ACB" w:rsidRPr="007524E9" w:rsidRDefault="00515ACB" w:rsidP="00515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E9">
        <w:rPr>
          <w:rFonts w:ascii="Times New Roman" w:hAnsi="Times New Roman" w:cs="Times New Roman"/>
          <w:sz w:val="28"/>
          <w:szCs w:val="28"/>
        </w:rPr>
        <w:t xml:space="preserve">   9. С какими скоростями производится пропуск вагонов метрополитена по железнодорожным путям?</w:t>
      </w: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515ACB" w:rsidTr="002B1A8C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515ACB" w:rsidRDefault="00515ACB" w:rsidP="002B1A8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515ACB" w:rsidRDefault="00515ACB" w:rsidP="002B1A8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Минтранса России от 30.03.2015 N 57)</w:t>
            </w:r>
          </w:p>
        </w:tc>
      </w:tr>
    </w:tbl>
    <w:p w:rsidR="00515ACB" w:rsidRDefault="00515ACB" w:rsidP="00043707">
      <w:pPr>
        <w:pStyle w:val="ConsPlusNormal"/>
        <w:ind w:firstLine="540"/>
        <w:jc w:val="both"/>
      </w:pPr>
    </w:p>
    <w:p w:rsidR="00043707" w:rsidRDefault="00043707" w:rsidP="00043707">
      <w:pPr>
        <w:pStyle w:val="ConsPlusNormal"/>
        <w:ind w:firstLine="540"/>
        <w:jc w:val="both"/>
      </w:pPr>
      <w:r>
        <w:t>1. Вагоны (цистерны) с грузами, требующими особой осторожности, при постановке в поезда в некоторых случаях должны иметь прикрытие от локомотивов, от вагонов с людьми и между собой. Сведения об условиях перевозки грузов, требующих особой осторожности, перечень таких грузов и установленные нормы прикрытия приведены в правилах перевозок грузов на железнодорожном транспорте.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Данные, характеризующие основные свойства такого груза, а также необходимые нормы прикрытия указываются также грузоотправителем в грузовых документах.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2. Одиночные вагоны с исправными ходовыми частями, непригодные для следования в составе поезда, должны пересылаться к пунктам ремонта только отдельными локомотивами после составления вагонными депо или промывочно-пропарочными станциями установленных пересылочных документов.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lastRenderedPageBreak/>
        <w:t xml:space="preserve">3. </w:t>
      </w:r>
      <w:proofErr w:type="gramStart"/>
      <w:r>
        <w:t>Вагоны с грузами боковой и нижней негабаритности 4-й, 5-й степеней, установленные Инструкцией по перевозке негабаритных и тяжеловесных грузов на железных дорогах государств - участников Содружества Независимых Государств, Латвийской Республики, Литовской Республики, Эстонской Республики, утвержденной Советом по железнодорожному транспорту государств - участников Содружества (протокол от 19 октября 2001 г. N 30), должны иметь прикрытие с головы и хвоста поезда не менее одного вагона</w:t>
      </w:r>
      <w:proofErr w:type="gramEnd"/>
      <w:r>
        <w:t xml:space="preserve"> с габаритным грузом или </w:t>
      </w:r>
      <w:proofErr w:type="gramStart"/>
      <w:r>
        <w:t>порожнего</w:t>
      </w:r>
      <w:proofErr w:type="gramEnd"/>
      <w:r>
        <w:t>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Запрещается ставить вагоны с негабаритными грузами боковой и нижней негабаритности (кроме грузов негабаритности 1-й - 3-й степеней) в длинносоставные поезда.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Вагон с контрольной рамой отделяется от локомотива одной порожней платформой для улучшения видимости контрольной рамы.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Вагон с негабаритным грузом нижней и боковой негабаритности 6-й степени, сверхнегабаритным грузом ставится в состав поезда не ближе 20 вагонов от вагона с контрольной рамой.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При перевозке груза нижней и боковой негабаритности 6-й степени, сверхнегабаритного груза с контрольной рамой в специальном поезде с отдельным локомотивом вагон с таким грузом должен находиться не ближе пяти вагонов от вагона с контрольной рамой. От хвоста поезда вагон с таким грузом должен иметь прикрытие не менее одного вагона с габаритным грузом или порожним.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В составы поездов разрешается включать груженые транспортеры грузоподъемностью до 240 т включительно.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Порядок следования транспортеров большей грузоподъемности, как в груженом, так и в порожнем состоянии, регулируется Едиными техническими условиями эксплуатации железнодорожных транспортеров, утвержденными на заседании Совета по железнодорожному транспорту государств - участников Содружества (протокол от 20 - 21 ноября 2008 г. N 49), или отдельными указаниями владельца инфраструктуры или владельца железнодорожных путей необщего пользования.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При постановке в поезд груженых транспортеров с числом осей 12 и более (кроме транспортеров сцепного типа грузоподъемностью 120 т с одной или двумя промежуточными платформами) рядом с ними с каждой стороны должны ставиться не менее двух четырехосных вагонов прикрытия с грузом не более 40 т или порожних любого типа. При следовании в одном поезде нескольких таких транспортеров между ними </w:t>
      </w:r>
      <w:proofErr w:type="gramStart"/>
      <w:r>
        <w:t>ставится не менее трех</w:t>
      </w:r>
      <w:proofErr w:type="gramEnd"/>
      <w:r>
        <w:t xml:space="preserve"> таких вагонов прикрытия.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Порожние и груженые транспортеры, четырехосные и сцепного типа грузоподъемностью 120 т ставятся в поезда без прикрытия.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Порожние транспортеры, имеющие восемь и более осей, а также порожние и груженые транспортеры сцепного типа грузоподъемностью 120 т (типы 3960 и 3961) и грузоподъемностью 240 т (тип 3974) при следовании их в поездах весом более трех тысяч тонн разрешается ставить только в последнюю четверть состава поезда. При меньшем весе поезда указанные транспортеры можно ставить в любую часть состава поезда.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Запрещается ставить в поезда, которые следуют с подталкиванием, груженые и порожние транспортеры, имеющие восемь и более осей, кроме 8-осных площадочных (тип 3912), платформенных (тип 3935), </w:t>
      </w:r>
      <w:proofErr w:type="spellStart"/>
      <w:r>
        <w:t>колодцевых</w:t>
      </w:r>
      <w:proofErr w:type="spellEnd"/>
      <w:r>
        <w:t xml:space="preserve"> (тип 3948).</w:t>
      </w:r>
    </w:p>
    <w:p w:rsidR="00043707" w:rsidRDefault="00043707" w:rsidP="00043707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>. 3 в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4. </w:t>
      </w:r>
      <w:proofErr w:type="spellStart"/>
      <w:r>
        <w:t>Курсирование</w:t>
      </w:r>
      <w:proofErr w:type="spellEnd"/>
      <w:r>
        <w:t xml:space="preserve"> </w:t>
      </w:r>
      <w:proofErr w:type="gramStart"/>
      <w:r>
        <w:t>хоппер-дозаторов</w:t>
      </w:r>
      <w:proofErr w:type="gramEnd"/>
      <w:r>
        <w:t xml:space="preserve"> по железнодорожным путям общего пользования допускается только замкнутыми маршрутами с одним </w:t>
      </w:r>
      <w:proofErr w:type="spellStart"/>
      <w:r>
        <w:t>турным</w:t>
      </w:r>
      <w:proofErr w:type="spellEnd"/>
      <w:r>
        <w:t xml:space="preserve"> вагоном в каждом маршруте для обслуживающего персонала.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Количество </w:t>
      </w:r>
      <w:proofErr w:type="gramStart"/>
      <w:r>
        <w:t>хоппер-дозаторов</w:t>
      </w:r>
      <w:proofErr w:type="gramEnd"/>
      <w:r>
        <w:t xml:space="preserve"> в каждом маршруте определяется исходя из технологических требований и условий разгрузки.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gramStart"/>
      <w:r>
        <w:t>Порожние и груженые хоппер-дозаторные маршруты, курсирующие в составе менее установленной графиком движения поездов нормы по длине или весу поезда, разрешается пополнять любым железнодорожным подвижным составом, кроме думпкаров (за исключением моделей 31-675, 31-675-01, 31-676, 31-676-01, 6ВС-60, 7ВС-60 и ВС-66), не требующим отцепок на промежуточных железнодорожных станциях и не ограничивающим скорости движения маршрутов, но при этом для маршрутов из хоппер-дозаторов ЦНИИ-2 и</w:t>
      </w:r>
      <w:proofErr w:type="gramEnd"/>
      <w:r>
        <w:t xml:space="preserve"> ЦНИИ-3 суммарный вес груженого состава не должен превышать 2600 т. Скорости следования таких грузовых поездов не должны превышать скоростей движения находящихся в поезде </w:t>
      </w:r>
      <w:proofErr w:type="gramStart"/>
      <w:r>
        <w:t>хоппер-дозаторов</w:t>
      </w:r>
      <w:proofErr w:type="gramEnd"/>
      <w:r>
        <w:t>.</w:t>
      </w:r>
    </w:p>
    <w:p w:rsidR="00043707" w:rsidRDefault="00043707" w:rsidP="00043707">
      <w:pPr>
        <w:pStyle w:val="ConsPlusNormal"/>
        <w:jc w:val="both"/>
      </w:pPr>
      <w:r>
        <w:t>(в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gramStart"/>
      <w:r>
        <w:t>О готовности маршрута из хоппер-дозаторов к следованию в груженом или порожнем состоянии с установленными допускаемыми скоростями движения по участку следования машинист хоппер-дозаторного маршрута обязан сделать запись в грузовых документах о том, что маршрут готов к следованию, все разгрузочно-дозировочные устройства хоппер-дозаторов проверены, осмотрены, приведены в полное транспортное положение.</w:t>
      </w:r>
      <w:proofErr w:type="gramEnd"/>
      <w:r>
        <w:t xml:space="preserve"> При следовании в груженом состоянии такая запись делается в накладной, а при следовании в порожнем состоянии - в пересылочной ведомости.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Осмотр и необходимый ремонт вагонных частей производятся работниками пунктов технического обслуживания в обычном порядке.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Без сопровождения </w:t>
      </w:r>
      <w:proofErr w:type="gramStart"/>
      <w:r>
        <w:t>хоппер-дозаторы</w:t>
      </w:r>
      <w:proofErr w:type="gramEnd"/>
      <w:r>
        <w:t xml:space="preserve"> могут отправляться в грузовых поездах только в порожнем состоянии по заявкам заводов-изготовителей, вагонных депо, ремонтных заводов, подразделений путевого хозяйства при необходимости пропуска их к месту приписки, в ремонт и из ремонта, с оформлением перевозки в соответствии с действующими нормами и правилами.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До отправки </w:t>
      </w:r>
      <w:proofErr w:type="gramStart"/>
      <w:r>
        <w:t>хоппер-дозаторов</w:t>
      </w:r>
      <w:proofErr w:type="gramEnd"/>
      <w:r>
        <w:t xml:space="preserve"> отправитель приводит их в полное транспортное положение, а о готовности к следованию и допускаемых скоростях движения - делает на железнодорожной станции отправления соответствующую запись в пересылочных документах.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Груженый хоппер-дозатор, отцепленный от вертушки по неисправности, до отправки в ремонт должен быть разгружен и после этого приведен в полное транспортное положение. Начальник железнодорожной станции отправляет </w:t>
      </w:r>
      <w:proofErr w:type="gramStart"/>
      <w:r>
        <w:t>хоппер-дозаторы</w:t>
      </w:r>
      <w:proofErr w:type="gramEnd"/>
      <w:r>
        <w:t xml:space="preserve"> только при наличии заявки на отправление, пересылочных и грузовых документов.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5. </w:t>
      </w:r>
      <w:proofErr w:type="spellStart"/>
      <w:r>
        <w:t>Курсирование</w:t>
      </w:r>
      <w:proofErr w:type="spellEnd"/>
      <w:r>
        <w:t xml:space="preserve"> по железнодорожным путям общего пользования думпкаров производится в порядке, установленном владельцем инфраструктуры.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Перед выдачей разрешения на </w:t>
      </w:r>
      <w:proofErr w:type="spellStart"/>
      <w:r>
        <w:t>курсирование</w:t>
      </w:r>
      <w:proofErr w:type="spellEnd"/>
      <w:r>
        <w:t xml:space="preserve"> по железнодорожным путям общего пользования думпкары должны быть осмотрены комиссией, состав которой определяется владельцем инфраструктуры, которая проверяет годность их к эксплуатации на условиях, предусмотренных в заявке на </w:t>
      </w:r>
      <w:proofErr w:type="spellStart"/>
      <w:r>
        <w:t>курсирование</w:t>
      </w:r>
      <w:proofErr w:type="spellEnd"/>
      <w:r>
        <w:t xml:space="preserve"> думпкаров. О результатах осмотра </w:t>
      </w:r>
      <w:r>
        <w:lastRenderedPageBreak/>
        <w:t>составляется акт, в котором отражается техническое состояние вагонов и заключение о пригодности их к обращению на железнодорожных путях общего пользования. В состав комиссии должны быть включены представители организаций - владельцев думпкаров.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Обращение на железнодорожных путях общего пользования производится: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1) думпкаров моделей 31-675, 31-675-01, 31-676, 31-676-01, 6ВС-60, 7ВС-60 и ВС-66 со скоростями, установленными для грузовых поездов, полносоставными маршрутами и укрупненными группами с </w:t>
      </w:r>
      <w:proofErr w:type="gramStart"/>
      <w:r>
        <w:t>пополнением</w:t>
      </w:r>
      <w:proofErr w:type="gramEnd"/>
      <w:r>
        <w:t xml:space="preserve"> как в порожнем, так и в груженом состоянии любым железнодорожным подвижным составом в соответствии с планом формирования;</w:t>
      </w:r>
    </w:p>
    <w:p w:rsidR="00043707" w:rsidRDefault="00043707" w:rsidP="00043707">
      <w:pPr>
        <w:pStyle w:val="ConsPlusNormal"/>
        <w:jc w:val="both"/>
      </w:pPr>
      <w:r>
        <w:t>(в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gramStart"/>
      <w:r>
        <w:t>2) думпкаров всех других типов со скоростями, установленными для соответствующих типов думпкаров, отдельными маршрутами весом не более 2600 т, с пополнением любым железнодорожным подвижным составом в порожнем состоянии до установленной длины, а в груженом состоянии - до указанного веса.</w:t>
      </w:r>
      <w:proofErr w:type="gramEnd"/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Пополнение </w:t>
      </w:r>
      <w:proofErr w:type="spellStart"/>
      <w:r>
        <w:t>думпкарных</w:t>
      </w:r>
      <w:proofErr w:type="spellEnd"/>
      <w:r>
        <w:t xml:space="preserve"> маршрутов разрешается только таким железнодорожным подвижным составом, который не требует отцепки на промежуточных железнодорожных станциях и не ограничивает скорости </w:t>
      </w:r>
      <w:proofErr w:type="spellStart"/>
      <w:r>
        <w:t>думпкарных</w:t>
      </w:r>
      <w:proofErr w:type="spellEnd"/>
      <w:r>
        <w:t xml:space="preserve"> маршрутов.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Маршруты из думпкаров и укрупненные группы думпкаров всех типов сопровождаются бригадой из машиниста и помощника машиниста, знающей устройство и эксплуатацию думпкаров, назначаемой предприятием и организацией владельца. Пересылка в поездах думпкаров, направляемых в ремонт, производится только в порожнем состоянии со скоростью не более 60 км/ч; пересылка из ремонта производится со скоростями, установленными для грузовых поездов (для думпкаров ВС-100 и 2ВС-105 со скоростью не более 80 км/ч), при этом думпкары моделей 31-675, 31-675-01, 31-676, 31-676-01, 6ВС-60, 7ВС-60 и ВС-66 могут ставиться в любой части поезда, а все остальные - последними в хвосте грузового поезда.</w:t>
      </w:r>
    </w:p>
    <w:p w:rsidR="00043707" w:rsidRDefault="00043707" w:rsidP="0004370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Минтранса России от 30.03.2015 N 57)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Техническое обслуживание вагонов-думпкаров производится их владельцем в соответствии с нормами и правилами.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Отцепку от маршрутов груженых думпкаров по технической и коммерческой неисправности оформляют в соответствии с Правилами перевозок железнодорожным транспортом грузов группами вагонов по одной накладной, утвержденными приказом Министерства путей сообщения Российской Федерации от 18.06.2003 N 32 (зарегистрировано в Министерстве юстиции Российской Федерации 23.06.2003 N 4815). В </w:t>
      </w:r>
      <w:proofErr w:type="spellStart"/>
      <w:r>
        <w:t>досылочных</w:t>
      </w:r>
      <w:proofErr w:type="spellEnd"/>
      <w:r>
        <w:t xml:space="preserve"> документах указывают особые отметки, имеющиеся в основных грузовых документах, при этом обязательно составляют уведомление на ремонт вагона формы ВУ-23.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spellStart"/>
      <w:r>
        <w:t>Курсирование</w:t>
      </w:r>
      <w:proofErr w:type="spellEnd"/>
      <w:r>
        <w:t xml:space="preserve"> по железнодорожным путям необщего пользования думпкаров производится в порядке, установленном владельцем этих железнодорожных путей.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 xml:space="preserve">Путевые машины тяжелого типа (путеукладочные, щебнеочистительные, снегоуборочные и другие), краны на железнодорожном ходу и другие единицы специального железнодорожного подвижного состава (передвижные электроустановки, машины для рытья котлованов, для погружения свайных фундаментов под опоры контактной сети и другие) отправляются с железнодорожных станций для следования в нерабочем состоянии (в грузовых поездах или с отдельными локомотивами) только по </w:t>
      </w:r>
      <w:r>
        <w:lastRenderedPageBreak/>
        <w:t>заявкам организаций - владельцев этого специального железнодорожного</w:t>
      </w:r>
      <w:proofErr w:type="gramEnd"/>
      <w:r>
        <w:t xml:space="preserve"> подвижного состава.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Подготовка специального железнодорожного подвижного состава к следованию в нерабочем состоянии производится грузоотправителями в соответствии с требованиями, предусмотренными в технических условиях (инструкциях), разрабатываемых для соответствующего специального железнодорожного подвижного состава или в соответствии с его паспортными данными. О приведении специального железнодорожного подвижного состава в транспортное положение отправителем должна быть сделана отметка в грузовых документах.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Готовность специального железнодорожного подвижного состава для следования в нерабочем состоянии проверяется комиссией, назначаемой владельцем инфраструктуры или владельцем железнодорожных путей необщего пользования.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Постановка специального железнодорожного подвижного состава в составы грузовых поездов производится в соответствии с положениями, предусмотренными в технических условиях (инструкциях) или в паспортных данных, определяющих порядок эксплуатации соответствующего специального железнодорожного подвижного состава.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Если в соответствии с техническими условиями (инструкциями) или паспортными данными специальный железнодорожный подвижной состав должен следовать со скоростью менее установленной в графике движения для грузовых поездов, то в отметке о приведении специального железнодорожного подвижного состава в транспортное положение отправитель должен указать эту скорость.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7. Локомотивы, моторвагонный железнодорожный подвижной состав в недействующем состоянии отправляются по заявкам их владельцев, руководителей ремонтных предприятий после технического обслуживания и комиссионной проверки их технического состояния, что оформляется соответствующим актом. В акте, который предъявляется вместе с заявкой, указывается разрешаемая скорость следования локомотива, моторвагонного железнодорожного подвижного состава. Второй экземпляр акта вручается проводнику локомотива, моторвагонного железнодорожного подвижного состава, третий экземпляр остается у отправителя.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Электровозы и тепловозы, отправляемые в недействующем состоянии, ставятся в грузовом поезде вслед за ведущим локомотивом не более двух односекционных или одного </w:t>
      </w:r>
      <w:proofErr w:type="spellStart"/>
      <w:r>
        <w:t>трехсекционного</w:t>
      </w:r>
      <w:proofErr w:type="spellEnd"/>
      <w:r>
        <w:t xml:space="preserve"> или двухсекционного локомотива.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gramStart"/>
      <w:r>
        <w:t xml:space="preserve">Пересылка большего количества локомотивов разрешается владельцем инфраструктуры или владельцем железнодорожных путей необщего пользования при условии отправления локомотивов с нагрузкой не более 8,1 т на погонный метр сплотками в количестве от 3 до 10 двухсекционных, 7 </w:t>
      </w:r>
      <w:proofErr w:type="spellStart"/>
      <w:r>
        <w:t>трехсекционных</w:t>
      </w:r>
      <w:proofErr w:type="spellEnd"/>
      <w:r>
        <w:t xml:space="preserve"> или 20 односекционных локомотивов (не считая ведущего локомотива), при этом ведущим локомотивом может быть один из локомотивов сплотки.</w:t>
      </w:r>
      <w:proofErr w:type="gramEnd"/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gramStart"/>
      <w:r>
        <w:t>При пересылке в грузовых поездах дизель-поездов последние ставятся в хвосте грузового поезда.</w:t>
      </w:r>
      <w:proofErr w:type="gramEnd"/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Паровозы с тендерами, отправляемые в холодном состоянии, ставятся вслед за ведущим локомотивом в количестве, устанавливаемом владельцем инфраструктуры или владельцем железнодорожных путей необщего пользования. Постановка холодного паровоза в голове поезда при двойной тяге производится в зависимости от верхнего </w:t>
      </w:r>
      <w:r>
        <w:lastRenderedPageBreak/>
        <w:t>строения пути и искусственных сооружений и разрешается владельцем инфраструктуры или владельцем железнодорожных путей необщего пользования. Паровозы с четыре</w:t>
      </w:r>
      <w:proofErr w:type="gramStart"/>
      <w:r>
        <w:t>х-</w:t>
      </w:r>
      <w:proofErr w:type="gramEnd"/>
      <w:r>
        <w:t xml:space="preserve"> и </w:t>
      </w:r>
      <w:proofErr w:type="spellStart"/>
      <w:r>
        <w:t>шестиосными</w:t>
      </w:r>
      <w:proofErr w:type="spellEnd"/>
      <w:r>
        <w:t xml:space="preserve"> тендерами разрешается отправлять тендером вперед, паровозы с трехосными тендерами ставятся в поезд только трубой вперед.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8. Перемещение спецформирований производится по заявкам их начальников в порядке, устанавливаемом владельцем инфраструктуры или владельцем железнодорожных путей необщего пользования.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В зависимости от характера спецформирования и типа железнодорожного подвижного состава в приказе указываются условия перемещения, обеспечивающие безопасность движения поездов.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9. Вагоны метрополитенов пересылаются сплотками, сформированными из вагонов метрополитена (до 12 вагонов) и 2 порожних грузовых вагонов прикрытия. Вагоны прикрытия прицепляются с обоих концов сплотки по одному на каждом конце. Эти вагоны со стороны сцепления с вагонами метрополитена оборудуются переходными сцеплениями, устанавливаемыми взамен типовых головок автосцепок.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Для сопровождения вагонов метрополитена отправителем выделяются проводники, для проезда которых используется в летнее время один из вагонов метрополитена, а в зимнее время вагон-теплушка, для которого используется один из вагонов прикрытия.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 xml:space="preserve">Для определения </w:t>
      </w:r>
      <w:proofErr w:type="gramStart"/>
      <w:r>
        <w:t>пригодности</w:t>
      </w:r>
      <w:proofErr w:type="gramEnd"/>
      <w:r>
        <w:t xml:space="preserve"> к следованию пересылаемые вагоны метрополитенов осматриваются комиссией, назначаемой отправителем. В состав комиссии включается представитель пункта технического обслуживания вагонов владельца инфраструктуры, владельца железнодорожных путей необщего пользования. Комиссия составляет в трех экземплярах акт проверки технического состояния отправляемых вагонов по установленной форме. Первый экземпляр акта остается в организации, отправляющей вагоны, второй - вручается </w:t>
      </w:r>
      <w:proofErr w:type="gramStart"/>
      <w:r>
        <w:t>старшему</w:t>
      </w:r>
      <w:proofErr w:type="gramEnd"/>
      <w:r>
        <w:t xml:space="preserve"> группы проводников и третий - используется для заявки железнодорожной станции на отправление вагонов.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r>
        <w:t>Транспортировка подготовленной сплотки производится отдельным локомотивом. Постановка вагонов метрополитена в состав поезда, а также пропуск их через сортировочные горки не допускается.</w:t>
      </w:r>
    </w:p>
    <w:p w:rsidR="00043707" w:rsidRDefault="00043707" w:rsidP="00043707">
      <w:pPr>
        <w:pStyle w:val="ConsPlusNormal"/>
        <w:spacing w:before="240"/>
        <w:ind w:firstLine="540"/>
        <w:jc w:val="both"/>
      </w:pPr>
      <w:proofErr w:type="gramStart"/>
      <w:r>
        <w:t>Пропуск вагонов метрополитена по железнодорожным путям производится в прямых и кривых радиусом более 300 м со скоростями, установленными для грузовых поездов, но не свыше 75 км/ч. По кривым радиусом 300 м и менее скорость движения не должна превышать: в кривых радиусом 60 м - 15 км/ч, радиусом 100 м - 30 км/ч, радиусом 300 м - 60 км/ч.</w:t>
      </w:r>
      <w:proofErr w:type="gramEnd"/>
    </w:p>
    <w:p w:rsidR="00043707" w:rsidRDefault="00043707" w:rsidP="00043707">
      <w:pPr>
        <w:pStyle w:val="ConsPlusNormal"/>
        <w:ind w:firstLine="540"/>
        <w:jc w:val="both"/>
      </w:pPr>
    </w:p>
    <w:p w:rsidR="00166193" w:rsidRPr="00F3222F" w:rsidRDefault="00166193" w:rsidP="00F3222F"/>
    <w:sectPr w:rsidR="00166193" w:rsidRPr="00F3222F" w:rsidSect="00E7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65C3"/>
    <w:rsid w:val="00043707"/>
    <w:rsid w:val="00166193"/>
    <w:rsid w:val="002965C3"/>
    <w:rsid w:val="002D3FF2"/>
    <w:rsid w:val="00441858"/>
    <w:rsid w:val="00515ACB"/>
    <w:rsid w:val="005A0D96"/>
    <w:rsid w:val="005A3B27"/>
    <w:rsid w:val="005F723B"/>
    <w:rsid w:val="006073FD"/>
    <w:rsid w:val="006F4651"/>
    <w:rsid w:val="00720340"/>
    <w:rsid w:val="007B1E58"/>
    <w:rsid w:val="007B241B"/>
    <w:rsid w:val="0088298B"/>
    <w:rsid w:val="00957B37"/>
    <w:rsid w:val="00984DC0"/>
    <w:rsid w:val="009D00DF"/>
    <w:rsid w:val="00A54430"/>
    <w:rsid w:val="00A748B0"/>
    <w:rsid w:val="00C10D3A"/>
    <w:rsid w:val="00C877D2"/>
    <w:rsid w:val="00C93AD0"/>
    <w:rsid w:val="00E77AE3"/>
    <w:rsid w:val="00E849AE"/>
    <w:rsid w:val="00ED5892"/>
    <w:rsid w:val="00EE2B7A"/>
    <w:rsid w:val="00F3222F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74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748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2524</Words>
  <Characters>14390</Characters>
  <Application>Microsoft Office Word</Application>
  <DocSecurity>0</DocSecurity>
  <Lines>119</Lines>
  <Paragraphs>33</Paragraphs>
  <ScaleCrop>false</ScaleCrop>
  <Company/>
  <LinksUpToDate>false</LinksUpToDate>
  <CharactersWithSpaces>16881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17</cp:revision>
  <dcterms:created xsi:type="dcterms:W3CDTF">2020-11-12T11:48:00Z</dcterms:created>
  <dcterms:modified xsi:type="dcterms:W3CDTF">2026-03-25T03:53:00Z</dcterms:modified>
</cp:coreProperties>
</file>