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707" w:rsidRDefault="00043707" w:rsidP="00043707">
      <w:pPr>
        <w:pStyle w:val="ConsPlusNormal"/>
        <w:jc w:val="right"/>
        <w:outlineLvl w:val="2"/>
      </w:pPr>
      <w:r>
        <w:t>Приложение N 18</w:t>
      </w:r>
    </w:p>
    <w:p w:rsidR="00043707" w:rsidRDefault="00043707" w:rsidP="00043707">
      <w:pPr>
        <w:pStyle w:val="ConsPlusNormal"/>
        <w:jc w:val="right"/>
      </w:pPr>
      <w:r>
        <w:t>к Инструкции по движению</w:t>
      </w:r>
    </w:p>
    <w:p w:rsidR="00043707" w:rsidRDefault="00043707" w:rsidP="00043707">
      <w:pPr>
        <w:pStyle w:val="ConsPlusNormal"/>
        <w:jc w:val="right"/>
      </w:pPr>
      <w:r>
        <w:t>поездов и маневровой работе</w:t>
      </w:r>
    </w:p>
    <w:p w:rsidR="00043707" w:rsidRDefault="00043707" w:rsidP="00043707">
      <w:pPr>
        <w:pStyle w:val="ConsPlusNormal"/>
        <w:jc w:val="right"/>
      </w:pPr>
      <w:r>
        <w:t>на железнодорожном транспорте</w:t>
      </w:r>
    </w:p>
    <w:p w:rsidR="00043707" w:rsidRDefault="00043707" w:rsidP="00043707">
      <w:pPr>
        <w:pStyle w:val="ConsPlusNormal"/>
        <w:jc w:val="right"/>
      </w:pPr>
      <w:r>
        <w:t>Российской Федерации</w:t>
      </w:r>
    </w:p>
    <w:p w:rsidR="00043707" w:rsidRDefault="00043707" w:rsidP="00043707">
      <w:pPr>
        <w:pStyle w:val="ConsPlusNormal"/>
        <w:ind w:firstLine="540"/>
        <w:jc w:val="both"/>
      </w:pPr>
    </w:p>
    <w:p w:rsidR="00043707" w:rsidRDefault="00043707" w:rsidP="00043707">
      <w:pPr>
        <w:pStyle w:val="ConsPlusTitle"/>
        <w:jc w:val="center"/>
      </w:pPr>
      <w:bookmarkStart w:id="0" w:name="Par7441"/>
      <w:bookmarkEnd w:id="0"/>
      <w:r>
        <w:t>ПОРЯДОК</w:t>
      </w:r>
    </w:p>
    <w:p w:rsidR="00043707" w:rsidRDefault="00043707" w:rsidP="00043707">
      <w:pPr>
        <w:pStyle w:val="ConsPlusTitle"/>
        <w:jc w:val="center"/>
      </w:pPr>
      <w:r>
        <w:t>ПОСТАНОВКИ В ПОЕЗДА ВАГОНОВ С ГРУЗАМИ, ТРЕБУЮЩИМИ ОСОБОЙ</w:t>
      </w:r>
    </w:p>
    <w:p w:rsidR="00043707" w:rsidRDefault="00043707" w:rsidP="00043707">
      <w:pPr>
        <w:pStyle w:val="ConsPlusTitle"/>
        <w:jc w:val="center"/>
      </w:pPr>
      <w:r>
        <w:t>ОСТОРОЖНОСТИ, И СПЕЦИАЛЬНОГО ЖЕЛЕЗНОДОРОЖНОГО</w:t>
      </w:r>
    </w:p>
    <w:p w:rsidR="00043707" w:rsidRDefault="00043707" w:rsidP="00043707">
      <w:pPr>
        <w:pStyle w:val="ConsPlusTitle"/>
        <w:jc w:val="center"/>
      </w:pPr>
      <w:r>
        <w:t>ПОДВИЖНОГО СОСТАВА</w:t>
      </w:r>
    </w:p>
    <w:p w:rsidR="00043707" w:rsidRDefault="00043707" w:rsidP="00043707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43707" w:rsidTr="000C6F12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43707" w:rsidRDefault="00043707" w:rsidP="000C6F1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43707" w:rsidRDefault="00043707" w:rsidP="000C6F1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Приказа Минтранса России от 30.03.2015 N 57)</w:t>
            </w:r>
          </w:p>
        </w:tc>
      </w:tr>
    </w:tbl>
    <w:p w:rsidR="00043707" w:rsidRDefault="00043707" w:rsidP="00043707">
      <w:pPr>
        <w:pStyle w:val="ConsPlusNormal"/>
        <w:ind w:firstLine="540"/>
        <w:jc w:val="both"/>
      </w:pPr>
    </w:p>
    <w:p w:rsidR="00043707" w:rsidRDefault="00043707" w:rsidP="00043707">
      <w:pPr>
        <w:pStyle w:val="ConsPlusNormal"/>
        <w:ind w:firstLine="540"/>
        <w:jc w:val="both"/>
      </w:pPr>
      <w:r>
        <w:t>1. Вагоны (цистерны) с грузами, требующими особой осторожности, при постановке в поезда в некоторых случаях должны иметь прикрытие от локомотивов, от вагонов с людьми и между собой. Сведения об условиях перевозки грузов, требующих особой осторожности, перечень таких грузов и установленные нормы прикрытия приведены в правилах перевозок грузов на железнодорожном транспорте.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Данные, характеризующие основные свойства такого груза, а также необходимые нормы прикрытия указываются также грузоотправителем в грузовых документах.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2. Одиночные вагоны с исправными ходовыми частями, непригодные для следования в составе поезда, должны пересылаться к пунктам ремонта только отдельными локомотивами после составления вагонными депо или промывочно-пропарочными станциями установленных пересылочных документов.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3. Вагоны с грузами боковой и нижней негабаритности 4-й, 5-й степеней, установленные Инструкцией по перевозке негабаритных и тяжеловесных грузов на железных дорогах государств - участников Содружества Независимых Государств, Латвийской Республики, Литовской Республики, Эстонской Республики, утвержденной Советом по железнодорожному транспорту государств - участников Содружества (протокол от 19 октября 2001 г. N 30), должны иметь прикрытие с головы и хвоста поезда не менее одного вагона с габаритным грузом или порожнего.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Запрещается ставить вагоны с негабаритными грузами боковой и нижней негабаритности (кроме грузов негабаритности 1-й - 3-й степеней) в длинносоставные поезда.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Вагон с контрольной рамой отделяется от локомотива одной порожней платформой для улучшения видимости контрольной рамы.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Вагон с негабаритным грузом нижней и боковой негабаритности 6-й степени, сверхнегабаритным грузом ставится в состав поезда не ближе 20 вагонов от вагона с контрольной рамой.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При перевозке груза нижней и боковой негабаритности 6-й степени, сверхнегабаритного груза с контрольной рамой в специальном поезде с отдельным локомотивом вагон с таким грузом должен находиться не ближе пяти вагонов от вагона с контрольной рамой. От хвоста поезда вагон с таким грузом должен иметь прикрытие не менее одного вагона с габаритным грузом или порожним.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lastRenderedPageBreak/>
        <w:t>В составы поездов разрешается включать груженые транспортеры грузоподъемностью до 240 т включительно.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Порядок следования транспортеров большей грузоподъемности, как в груженом, так и в порожнем состоянии, регулируется Едиными техническими условиями эксплуатации железнодорожных транспортеров, утвержденными на заседании Совета по железнодорожному транспорту государств - участников Содружества (протокол от 20 - 21 ноября 2008 г. N 49), или отдельными указаниями владельца инфраструктуры или владельца железнодорожных путей необщего пользования.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При постановке в поезд груженых транспортеров с числом осей 12 и более (кроме транспортеров сцепного типа грузоподъемностью 120 т с одной или двумя промежуточными платформами) рядом с ними с каждой стороны должны ставиться не менее двух четырехосных вагонов прикрытия с грузом не более 40 т или порожних любого типа. При следовании в одном поезде нескольких таких транспортеров между ними ставится не менее трех таких вагонов прикрытия.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Порожние и груженые транспортеры, четырехосные и сцепного типа грузоподъемностью 120 т ставятся в поезда без прикрытия.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Порожние транспортеры, имеющие восемь и более осей, а также порожние и груженые транспортеры сцепного типа грузоподъемностью 120 т (типы 3960 и 3961) и грузоподъемностью 240 т (тип 3974) при следовании их в поездах весом более трех тысяч тонн разрешается ставить только в последнюю четверть состава поезда. При меньшем весе поезда указанные транспортеры можно ставить в любую часть состава поезда.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Запрещается ставить в поезда, которые следуют с подталкиванием, груженые и порожние транспортеры, имеющие восемь и более осей, кроме 8-осных площадочных (тип 3912), платформенных (тип 3935), </w:t>
      </w:r>
      <w:proofErr w:type="spellStart"/>
      <w:r>
        <w:t>колодцевых</w:t>
      </w:r>
      <w:proofErr w:type="spellEnd"/>
      <w:r>
        <w:t xml:space="preserve"> (тип 3948).</w:t>
      </w:r>
    </w:p>
    <w:p w:rsidR="00043707" w:rsidRDefault="00043707" w:rsidP="00043707">
      <w:pPr>
        <w:pStyle w:val="ConsPlusNormal"/>
        <w:jc w:val="both"/>
      </w:pPr>
      <w:r>
        <w:t>(п. 3 в ред. Приказа Минтранса России от 30.03.2015 N 57)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4. </w:t>
      </w:r>
      <w:proofErr w:type="spellStart"/>
      <w:r>
        <w:t>Курсирование</w:t>
      </w:r>
      <w:proofErr w:type="spellEnd"/>
      <w:r>
        <w:t xml:space="preserve"> </w:t>
      </w:r>
      <w:proofErr w:type="spellStart"/>
      <w:r>
        <w:t>хоппер-дозаторов</w:t>
      </w:r>
      <w:proofErr w:type="spellEnd"/>
      <w:r>
        <w:t xml:space="preserve"> по железнодорожным путям общего пользования допускается только замкнутыми маршрутами с одним </w:t>
      </w:r>
      <w:proofErr w:type="spellStart"/>
      <w:r>
        <w:t>турным</w:t>
      </w:r>
      <w:proofErr w:type="spellEnd"/>
      <w:r>
        <w:t xml:space="preserve"> вагоном в каждом маршруте для обслуживающего персонала.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Количество </w:t>
      </w:r>
      <w:proofErr w:type="spellStart"/>
      <w:r>
        <w:t>хоппер-дозаторов</w:t>
      </w:r>
      <w:proofErr w:type="spellEnd"/>
      <w:r>
        <w:t xml:space="preserve"> в каждом маршруте определяется исходя из технологических требований и условий разгрузки.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Порожние и груженые </w:t>
      </w:r>
      <w:proofErr w:type="spellStart"/>
      <w:r>
        <w:t>хоппер-дозаторные</w:t>
      </w:r>
      <w:proofErr w:type="spellEnd"/>
      <w:r>
        <w:t xml:space="preserve"> маршруты, курсирующие в составе менее установленной графиком движения поездов нормы по длине или весу поезда, разрешается пополнять любым железнодорожным подвижным составом, кроме думпкаров (за исключением моделей 31-675, 31-675-01, 31-676, 31-676-01, 6ВС-60, 7ВС-60 и ВС-66), не требующим отцепок на промежуточных железнодорожных станциях и не ограничивающим скорости движения маршрутов, но при этом для маршрутов из </w:t>
      </w:r>
      <w:proofErr w:type="spellStart"/>
      <w:r>
        <w:t>хоппер-дозаторов</w:t>
      </w:r>
      <w:proofErr w:type="spellEnd"/>
      <w:r>
        <w:t xml:space="preserve"> ЦНИИ-2 и ЦНИИ-3 суммарный вес груженого состава не должен превышать 2600 т. Скорости следования таких грузовых поездов не должны превышать скоростей движения находящихся в поезде </w:t>
      </w:r>
      <w:proofErr w:type="spellStart"/>
      <w:r>
        <w:t>хоппер-дозаторов</w:t>
      </w:r>
      <w:proofErr w:type="spellEnd"/>
      <w:r>
        <w:t>.</w:t>
      </w:r>
    </w:p>
    <w:p w:rsidR="00043707" w:rsidRDefault="00043707" w:rsidP="00043707">
      <w:pPr>
        <w:pStyle w:val="ConsPlusNormal"/>
        <w:jc w:val="both"/>
      </w:pPr>
      <w:r>
        <w:t>(в ред. Приказа Минтранса России от 30.03.2015 N 57)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О готовности маршрута из </w:t>
      </w:r>
      <w:proofErr w:type="spellStart"/>
      <w:r>
        <w:t>хоппер-дозаторов</w:t>
      </w:r>
      <w:proofErr w:type="spellEnd"/>
      <w:r>
        <w:t xml:space="preserve"> к следованию в груженом или порожнем состоянии с установленными допускаемыми скоростями движения по участку следования машинист </w:t>
      </w:r>
      <w:proofErr w:type="spellStart"/>
      <w:r>
        <w:t>хоппер-дозаторного</w:t>
      </w:r>
      <w:proofErr w:type="spellEnd"/>
      <w:r>
        <w:t xml:space="preserve"> маршрута обязан сделать запись в грузовых документах о том, что маршрут готов к следованию, все разгрузочно-дозировочные </w:t>
      </w:r>
      <w:r>
        <w:lastRenderedPageBreak/>
        <w:t xml:space="preserve">устройства </w:t>
      </w:r>
      <w:proofErr w:type="spellStart"/>
      <w:r>
        <w:t>хоппер-дозаторов</w:t>
      </w:r>
      <w:proofErr w:type="spellEnd"/>
      <w:r>
        <w:t xml:space="preserve"> проверены, осмотрены, приведены в полное транспортное положение. При следовании в груженом состоянии такая запись делается в накладной, а при следовании в порожнем состоянии - в пересылочной ведомости.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Осмотр и необходимый ремонт вагонных частей производятся работниками пунктов технического обслуживания в обычном порядке.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Без сопровождения </w:t>
      </w:r>
      <w:proofErr w:type="spellStart"/>
      <w:r>
        <w:t>хоппер-дозаторы</w:t>
      </w:r>
      <w:proofErr w:type="spellEnd"/>
      <w:r>
        <w:t xml:space="preserve"> могут отправляться в грузовых поездах только в порожнем состоянии по заявкам заводов-изготовителей, вагонных депо, ремонтных заводов, подразделений путевого хозяйства при необходимости пропуска их к месту приписки, в ремонт и из ремонта, с оформлением перевозки в соответствии с действующими нормами и правилами.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До отправки </w:t>
      </w:r>
      <w:proofErr w:type="spellStart"/>
      <w:r>
        <w:t>хоппер-дозаторов</w:t>
      </w:r>
      <w:proofErr w:type="spellEnd"/>
      <w:r>
        <w:t xml:space="preserve"> отправитель приводит их в полное транспортное положение, а о готовности к следованию и допускаемых скоростях движения - делает на железнодорожной станции отправления соответствующую запись в пересылочных документах.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Груженый хоппер-дозатор, отцепленный от вертушки по неисправности, до отправки в ремонт должен быть разгружен и после этого приведен в полное транспортное положение. Начальник железнодорожной станции отправляет </w:t>
      </w:r>
      <w:proofErr w:type="spellStart"/>
      <w:r>
        <w:t>хоппер-дозаторы</w:t>
      </w:r>
      <w:proofErr w:type="spellEnd"/>
      <w:r>
        <w:t xml:space="preserve"> только при наличии заявки на отправление, пересылочных и грузовых документов.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5. </w:t>
      </w:r>
      <w:proofErr w:type="spellStart"/>
      <w:r>
        <w:t>Курсирование</w:t>
      </w:r>
      <w:proofErr w:type="spellEnd"/>
      <w:r>
        <w:t xml:space="preserve"> по железнодорожным путям общего пользования думпкаров производится в порядке, установленном владельцем инфраструктуры.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Перед выдачей разрешения на </w:t>
      </w:r>
      <w:proofErr w:type="spellStart"/>
      <w:r>
        <w:t>курсирование</w:t>
      </w:r>
      <w:proofErr w:type="spellEnd"/>
      <w:r>
        <w:t xml:space="preserve"> по железнодорожным путям общего пользования думпкары должны быть осмотрены комиссией, состав которой определяется владельцем инфраструктуры, которая проверяет годность их к эксплуатации на условиях, предусмотренных в заявке на </w:t>
      </w:r>
      <w:proofErr w:type="spellStart"/>
      <w:r>
        <w:t>курсирование</w:t>
      </w:r>
      <w:proofErr w:type="spellEnd"/>
      <w:r>
        <w:t xml:space="preserve"> думпкаров. О результатах осмотра составляется акт, в котором отражается техническое состояние вагонов и заключение о пригодности их к обращению на железнодорожных путях общего пользования. В состав комиссии должны быть включены представители организаций - владельцев думпкаров.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Обращение на железнодорожных путях общего пользования производится: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1) думпкаров моделей 31-675, 31-675-01, 31-676, 31-676-01, 6ВС-60, 7ВС-60 и ВС-66 со скоростями, установленными для грузовых поездов, полносоставными маршрутами и укрупненными группами с пополнением как в порожнем, так и в груженом состоянии любым железнодорожным подвижным составом в соответствии с планом формирования;</w:t>
      </w:r>
    </w:p>
    <w:p w:rsidR="00043707" w:rsidRDefault="00043707" w:rsidP="00043707">
      <w:pPr>
        <w:pStyle w:val="ConsPlusNormal"/>
        <w:jc w:val="both"/>
      </w:pPr>
      <w:r>
        <w:t>(в ред. Приказа Минтранса России от 30.03.2015 N 57)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2) думпкаров всех других типов со скоростями, установленными для соответствующих типов думпкаров, отдельными маршрутами весом не более 2600 т, с пополнением любым железнодорожным подвижным составом в порожнем состоянии до установленной длины, а в груженом состоянии - до указанного веса.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Пополнение </w:t>
      </w:r>
      <w:proofErr w:type="spellStart"/>
      <w:r>
        <w:t>думпкарных</w:t>
      </w:r>
      <w:proofErr w:type="spellEnd"/>
      <w:r>
        <w:t xml:space="preserve"> маршрутов разрешается только таким железнодорожным подвижным составом, который не требует отцепки на промежуточных железнодорожных станциях и не ограничивает скорости </w:t>
      </w:r>
      <w:proofErr w:type="spellStart"/>
      <w:r>
        <w:t>думпкарных</w:t>
      </w:r>
      <w:proofErr w:type="spellEnd"/>
      <w:r>
        <w:t xml:space="preserve"> маршрутов.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Маршруты из думпкаров и укрупненные группы думпкаров всех типов сопровождаются бригадой из машиниста и помощника машиниста, знающей устройство и эксплуатацию думпкаров, назначаемой предприятием и организацией владельца. </w:t>
      </w:r>
      <w:r>
        <w:lastRenderedPageBreak/>
        <w:t>Пересылка в поездах думпкаров, направляемых в ремонт, производится только в порожнем состоянии со скоростью не более 60 км/ч; пересылка из ремонта производится со скоростями, установленными для грузовых поездов (для думпкаров ВС-100 и 2ВС-105 со скоростью не более 80 км/ч), при этом думпкары моделей 31-675, 31-675-01, 31-676, 31-676-01, 6ВС-60, 7ВС-60 и ВС-66 могут ставиться в любой части поезда, а все остальные - последними в хвосте грузового поезда.</w:t>
      </w:r>
    </w:p>
    <w:p w:rsidR="00043707" w:rsidRDefault="00043707" w:rsidP="00043707">
      <w:pPr>
        <w:pStyle w:val="ConsPlusNormal"/>
        <w:jc w:val="both"/>
      </w:pPr>
      <w:r>
        <w:t>(в ред. Приказа Минтранса России от 30.03.2015 N 57)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Техническое обслуживание вагонов-думпкаров производится их владельцем в соответствии с нормами и правилами.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Отцепку от маршрутов груженых думпкаров по технической и коммерческой неисправности оформляют в соответствии с Правилами перевозок железнодорожным транспортом грузов группами вагонов по одной накладной, утвержденными приказом Министерства путей сообщения Российской Федерации от 18.06.2003 N 32 (зарегистрировано в Министерстве юстиции Российской Федерации 23.06.2003 N 4815). В </w:t>
      </w:r>
      <w:proofErr w:type="spellStart"/>
      <w:r>
        <w:t>досылочных</w:t>
      </w:r>
      <w:proofErr w:type="spellEnd"/>
      <w:r>
        <w:t xml:space="preserve"> документах указывают особые отметки, имеющиеся в основных грузовых документах, при этом обязательно составляют уведомление на ремонт вагона формы ВУ-23.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proofErr w:type="spellStart"/>
      <w:r>
        <w:t>Курсирование</w:t>
      </w:r>
      <w:proofErr w:type="spellEnd"/>
      <w:r>
        <w:t xml:space="preserve"> по железнодорожным путям необщего пользования думпкаров производится в порядке, установленном владельцем этих железнодорожных путей.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6. Путевые машины тяжелого типа (путеукладочные, щебнеочистительные, снегоуборочные и другие), краны на железнодорожном ходу и другие единицы специального железнодорожного подвижного состава (передвижные электроустановки, машины для рытья котлованов, для погружения свайных фундаментов под опоры контактной сети и другие) отправляются с железнодорожных станций для следования в нерабочем состоянии (в грузовых поездах или с отдельными локомотивами) только по заявкам организаций - владельцев этого специального железнодорожного подвижного состава.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Подготовка специального железнодорожного подвижного состава к следованию в нерабочем состоянии производится грузоотправителями в соответствии с требованиями, предусмотренными в технических условиях (инструкциях), разрабатываемых для соответствующего специального железнодорожного подвижного состава или в соответствии с его паспортными данными. О приведении специального железнодорожного подвижного состава в транспортное положение отправителем должна быть сделана отметка в грузовых документах.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Готовность специального железнодорожного подвижного состава для следования в нерабочем состоянии проверяется комиссией, назначаемой владельцем инфраструктуры или владельцем железнодорожных путей необщего пользования.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Постановка специального железнодорожного подвижного состава в составы грузовых поездов производится в соответствии с положениями, предусмотренными в технических условиях (инструкциях) или в паспортных данных, определяющих порядок эксплуатации соответствующего специального железнодорожного подвижного состава.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Если в соответствии с техническими условиями (инструкциями) или паспортными данными специальный железнодорожный подвижной состав должен следовать со скоростью менее установленной в графике движения для грузовых поездов, то в отметке о приведении специального железнодорожного подвижного состава в транспортное </w:t>
      </w:r>
      <w:r>
        <w:lastRenderedPageBreak/>
        <w:t>положение отправитель должен указать эту скорость.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7. Локомотивы, моторвагонный железнодорожный подвижной состав в недействующем состоянии отправляются по заявкам их владельцев, руководителей ремонтных предприятий после технического обслуживания и комиссионной проверки их технического состояния, что оформляется соответствующим актом. В акте, который предъявляется вместе с заявкой, указывается разрешаемая скорость следования локомотива, моторвагонного железнодорожного подвижного состава. Второй экземпляр акта вручается проводнику локомотива, моторвагонного железнодорожного подвижного состава, третий экземпляр остается у отправителя.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Электровозы и тепловозы, отправляемые в недействующем состоянии, ставятся в грузовом поезде вслед за ведущим локомотивом не более двух односекционных или одного </w:t>
      </w:r>
      <w:proofErr w:type="spellStart"/>
      <w:r>
        <w:t>трехсекционного</w:t>
      </w:r>
      <w:proofErr w:type="spellEnd"/>
      <w:r>
        <w:t xml:space="preserve"> или двухсекционного локомотива.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Пересылка большего количества локомотивов разрешается владельцем инфраструктуры или владельцем железнодорожных путей необщего пользования при условии отправления локомотивов с нагрузкой не более 8,1 т на погонный метр сплотками в количестве от 3 до 10 двухсекционных, 7 </w:t>
      </w:r>
      <w:proofErr w:type="spellStart"/>
      <w:r>
        <w:t>трехсекционных</w:t>
      </w:r>
      <w:proofErr w:type="spellEnd"/>
      <w:r>
        <w:t xml:space="preserve"> или 20 односекционных локомотивов (не считая ведущего локомотива), при этом ведущим локомотивом может быть один из локомотивов сплотки.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При пересылке в грузовых поездах дизель-поездов последние ставятся в хвосте грузового поезда.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Паровозы с тендерами, отправляемые в холодном состоянии, ставятся вслед за ведущим локомотивом в количестве, устанавливаемом владельцем инфраструктуры или владельцем железнодорожных путей необщего пользования. Постановка холодного паровоза в голове поезда при двойной тяге производится в зависимости от верхнего строения пути и искусственных сооружений и разрешается владельцем инфраструктуры или владельцем железнодорожных путей необщего пользования. Паровозы с четырех- и </w:t>
      </w:r>
      <w:proofErr w:type="spellStart"/>
      <w:r>
        <w:t>шестиосными</w:t>
      </w:r>
      <w:proofErr w:type="spellEnd"/>
      <w:r>
        <w:t xml:space="preserve"> тендерами разрешается отправлять тендером вперед, паровозы с трехосными тендерами ставятся в поезд только трубой вперед.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8. Перемещение спецформирований производится по заявкам их начальников в порядке, устанавливаемом владельцем инфраструктуры или владельцем железнодорожных путей необщего пользования.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В зависимости от характера спецформирования и типа железнодорожного подвижного состава в приказе указываются условия перемещения, обеспечивающие безопасность движения поездов.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9. Вагоны метрополитенов пересылаются сплотками, сформированными из вагонов метрополитена (до 12 вагонов) и 2 порожних грузовых вагонов прикрытия. Вагоны прикрытия прицепляются с обоих концов сплотки по одному на каждом конце. Эти вагоны со стороны сцепления с вагонами метрополитена оборудуются переходными сцеплениями, устанавливаемыми взамен типовых головок автосцепок.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Для сопровождения вагонов метрополитена отправителем выделяются проводники, для проезда которых используется в летнее время один из вагонов метрополитена, а в зимнее время вагон-теплушка, для которого используется один из вагонов прикрытия.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Для определения пригодности к следованию пересылаемые вагоны метрополитенов осматриваются комиссией, назначаемой отправителем. В состав комиссии включается </w:t>
      </w:r>
      <w:r>
        <w:lastRenderedPageBreak/>
        <w:t>представитель пункта технического обслуживания вагонов владельца инфраструктуры, владельца железнодорожных путей необщего пользования. Комиссия составляет в трех экземплярах акт проверки технического состояния отправляемых вагонов по установленной форме. Первый экземпляр акта остается в организации, отправляющей вагоны, второй - вручается старшему группы проводников и третий - используется для заявки железнодорожной станции на отправление вагонов.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Транспортировка подготовленной сплотки производится отдельным локомотивом. Постановка вагонов метрополитена в состав поезда, а также пропуск их через сортировочные горки не допускается.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Пропуск вагонов метрополитена по железнодорожным путям производится в прямых и кривых радиусом более 300 м со скоростями, установленными для грузовых поездов, но не свыше 75 км/ч. По кривым радиусом 300 м и менее скорость движения не должна превышать: в кривых радиусом 60 м - 15 км/ч, радиусом 100 м - 30 км/ч, радиусом 300 м - 60 км/ч.</w:t>
      </w:r>
    </w:p>
    <w:p w:rsidR="00043707" w:rsidRDefault="00043707" w:rsidP="00043707">
      <w:pPr>
        <w:pStyle w:val="ConsPlusNormal"/>
        <w:ind w:firstLine="540"/>
        <w:jc w:val="both"/>
      </w:pPr>
    </w:p>
    <w:p w:rsidR="00166193" w:rsidRPr="00F3222F" w:rsidRDefault="00166193" w:rsidP="00F3222F"/>
    <w:sectPr w:rsidR="00166193" w:rsidRPr="00F3222F" w:rsidSect="00E77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965C3"/>
    <w:rsid w:val="00043707"/>
    <w:rsid w:val="00166193"/>
    <w:rsid w:val="002965C3"/>
    <w:rsid w:val="002D3FF2"/>
    <w:rsid w:val="00441858"/>
    <w:rsid w:val="005A0D96"/>
    <w:rsid w:val="005A3B27"/>
    <w:rsid w:val="005F723B"/>
    <w:rsid w:val="006073FD"/>
    <w:rsid w:val="006F4651"/>
    <w:rsid w:val="00720340"/>
    <w:rsid w:val="007B1E58"/>
    <w:rsid w:val="007B241B"/>
    <w:rsid w:val="0088298B"/>
    <w:rsid w:val="00957B37"/>
    <w:rsid w:val="00984DC0"/>
    <w:rsid w:val="009D00DF"/>
    <w:rsid w:val="00A54430"/>
    <w:rsid w:val="00A748B0"/>
    <w:rsid w:val="00C10D3A"/>
    <w:rsid w:val="00C877D2"/>
    <w:rsid w:val="00C93AD0"/>
    <w:rsid w:val="00E77AE3"/>
    <w:rsid w:val="00E849AE"/>
    <w:rsid w:val="00ED5892"/>
    <w:rsid w:val="00EE2B7A"/>
    <w:rsid w:val="00F3222F"/>
    <w:rsid w:val="00FE1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65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2965C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A748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748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2381</Words>
  <Characters>13578</Characters>
  <Application>Microsoft Office Word</Application>
  <DocSecurity>0</DocSecurity>
  <Lines>113</Lines>
  <Paragraphs>31</Paragraphs>
  <ScaleCrop>false</ScaleCrop>
  <Company/>
  <LinksUpToDate>false</LinksUpToDate>
  <CharactersWithSpaces>15928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Михаил</cp:lastModifiedBy>
  <cp:revision>16</cp:revision>
  <dcterms:created xsi:type="dcterms:W3CDTF">2020-11-12T11:48:00Z</dcterms:created>
  <dcterms:modified xsi:type="dcterms:W3CDTF">2021-02-03T08:22:00Z</dcterms:modified>
</cp:coreProperties>
</file>