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D7" w:rsidRDefault="000E4ED7" w:rsidP="000E4E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F23" w:rsidRDefault="008D0F23" w:rsidP="000E4E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F23" w:rsidRDefault="008D0F23" w:rsidP="000E4E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E4ED7" w:rsidRPr="000E4ED7" w:rsidRDefault="000E4ED7" w:rsidP="000E4E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обслуживания и ремонта высокоскоростного подвижного состава.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обслуживания и ремонта высокоскоростного железнодорожного подвижного состава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регламентируется нормативными документами, которые устанавливают требования к технической эксплуатации такого состава, в том числе локомотивов, пассажирских вагонов и мотор-вагонного подвижного состава с конструкционной скоростью более 200 км/ч. Эти требования направлены на обеспечение безопасности движения и эксплуатации подвижного состава, а также на соблюдение назначенного срока службы (ресурса).  </w:t>
      </w:r>
      <w:proofErr w:type="gramEnd"/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Обслуживание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Некоторые требования к организации технического обслуживания высокоскоростного железнодорожного подвижного состава: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Периодичность обслуживания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устанавливается в эксплуатационной и (или) ремонтной документации.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Устранение неисправностей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например, загрязнений, ржавчины, обледенения на поверхности катания колёсных пар, которые снижают надёжность фиксации занятости участков железнодорожного пути.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работоспособности устройств безопасности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владелец подвижного состава должен обеспечивать проверку работоспособности устройств безопасности.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Ведение паспорта или формуляра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для каждой единицы подвижного состава ведётся паспорт или формуляр на бумажном носителе и (или) в электронном виде, который содержит сведения о вводе в эксплуатацию, информации о комплектности, свидетельстве о приёмке, модернизации, проведённых плановых ремонтах и техническом обслуживании, о комплектации номерными составными частями.</w:t>
      </w:r>
    </w:p>
    <w:p w:rsidR="000E4ED7" w:rsidRPr="000E4ED7" w:rsidRDefault="000E4ED7" w:rsidP="000E4ED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Устранение неисправностей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например, при обнаружении в пути следования на колесе колёсной пары образования плоской площадки (ползуна) или </w:t>
      </w:r>
      <w:proofErr w:type="spellStart"/>
      <w:r w:rsidRPr="000E4ED7">
        <w:rPr>
          <w:rFonts w:ascii="Times New Roman" w:eastAsia="Times New Roman" w:hAnsi="Times New Roman" w:cs="Times New Roman"/>
          <w:sz w:val="28"/>
          <w:szCs w:val="28"/>
        </w:rPr>
        <w:t>выщербины</w:t>
      </w:r>
      <w:proofErr w:type="spellEnd"/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 должны соблюдаться требования пункта 155 Правил технической эксплуатации железных дорог.</w:t>
      </w:r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Некоторые требования к организации ремонта высокоскоростного железнодорожного подвижного состава: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в том числе проводимый в рамках сервисного обслуживания, должен осуществляться на предприятиях, имеющих условный номер клеймения, полученный на соответствующие виды работ.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 составных частей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например, входящих в перечень составных частей, подлежащих клеймению, — на предприятиях, имеющих условный номер клеймения.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Запрет на установку составных частей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если назначенный срок службы (ресурс) истёк (при его наличии) и параметры составных частей превышают предельный допустимый износ, установленный ремонтной и (или) эксплуатационной документацией.</w:t>
      </w:r>
    </w:p>
    <w:p w:rsidR="000E4ED7" w:rsidRPr="000E4ED7" w:rsidRDefault="000E4ED7" w:rsidP="000E4ED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Передислокация подвижного состава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если состав отцеплен в пути следования по причине технической неисправности, он должен быть передислоцирован к месту проведения ремонта.</w:t>
      </w:r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Некоторые нормативные документы, регламентирующие обслуживание и ремонт высокоскоростного железнодорожного подвижного состава:</w:t>
      </w:r>
    </w:p>
    <w:p w:rsidR="000E4ED7" w:rsidRPr="000E4ED7" w:rsidRDefault="000E4ED7" w:rsidP="000E4ED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 Министерства транспорта Российской Федерации от 25 сентября 2025 г. №350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«Об утверждении Правил технической эксплуатации высокоскоростного железнодорожного транспорта». Устанавливает требования к технической эксплуатации высокоскоростного железнодорожного подвижного состава и подвижного состава для обслуживания инфраструктуры высокоскоростного железнодорожного транспорта (ВСМ).  </w:t>
      </w:r>
    </w:p>
    <w:p w:rsidR="000E4ED7" w:rsidRPr="000E4ED7" w:rsidRDefault="000E4ED7" w:rsidP="000E4ED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Ремонтная документация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содержит указания по организации ремонта, правила и порядок выполнения капитального, среднего и текущего ремонта, контроля, регулирования, испытаний, консервации, транспортирования и хранения подвижного состава после ремонта, монтажа и испытания.  </w:t>
      </w:r>
    </w:p>
    <w:p w:rsidR="000E4ED7" w:rsidRPr="000E4ED7" w:rsidRDefault="000E4ED7" w:rsidP="000E4ED7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по эксплуатации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содержит сведения о конструкции, принципе действия, характеристиках подвижного состава и указания, необходимые для правильной и безопасной эксплуатации.  </w:t>
      </w:r>
    </w:p>
    <w:p w:rsidR="000E4ED7" w:rsidRPr="000E4ED7" w:rsidRDefault="000E4ED7" w:rsidP="000E4ED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</w:t>
      </w:r>
    </w:p>
    <w:p w:rsidR="000E4ED7" w:rsidRPr="000E4ED7" w:rsidRDefault="000E4ED7" w:rsidP="000E4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sz w:val="28"/>
          <w:szCs w:val="28"/>
        </w:rPr>
        <w:t>За соблюдением требований по обслуживанию и ремонту высокоскоростного железнодорожного подвижного состава осуществляется, например:</w:t>
      </w:r>
    </w:p>
    <w:p w:rsidR="000E4ED7" w:rsidRPr="000E4ED7" w:rsidRDefault="000E4ED7" w:rsidP="000E4ED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работоспособности устройств безопасности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владелец подвижного состава должен обеспечивать проверку работоспособности устройств безопасности.  </w:t>
      </w:r>
    </w:p>
    <w:p w:rsidR="000E4ED7" w:rsidRPr="000E4ED7" w:rsidRDefault="000E4ED7" w:rsidP="000E4ED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устранением неисправностей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 xml:space="preserve"> — например, при обнаружении неисправностей, угрожающих жизни и здоровью людей или безопасности движения железнодорожного транспорта, должны приниматься меры для остановки поезда, устранения неисправностей и (или) их ограждения.  </w:t>
      </w:r>
    </w:p>
    <w:p w:rsidR="000E4ED7" w:rsidRDefault="000E4ED7" w:rsidP="000E4ED7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0E4E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соблюдением периодичности обслуживания</w:t>
      </w:r>
      <w:r w:rsidRPr="000E4ED7">
        <w:rPr>
          <w:rFonts w:ascii="Times New Roman" w:eastAsia="Times New Roman" w:hAnsi="Times New Roman" w:cs="Times New Roman"/>
          <w:sz w:val="28"/>
          <w:szCs w:val="28"/>
        </w:rPr>
        <w:t> — владелец подвижного состава должен обеспечивать, что техническое обслуживание и ремонт проводятся в соответствии с периодичностью, установленной в эксплуатационной и (или) ремонтной документации.</w:t>
      </w:r>
    </w:p>
    <w:p w:rsidR="005C4D0C" w:rsidRDefault="005C4D0C" w:rsidP="005C4D0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4D0C" w:rsidRPr="005C4D0C" w:rsidRDefault="005C4D0C" w:rsidP="005C4D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D0C">
        <w:rPr>
          <w:rFonts w:ascii="Times New Roman" w:eastAsia="Times New Roman" w:hAnsi="Times New Roman" w:cs="Times New Roman"/>
          <w:b/>
          <w:sz w:val="28"/>
          <w:szCs w:val="28"/>
        </w:rPr>
        <w:t>Выписка из Приказа Министерства транспорта Российской Федерации от 25 сентября 2025 г. № 350 "Об утверждении Правил технической эксплуатации высокоскоростного железнодорожного транспорта"</w:t>
      </w:r>
    </w:p>
    <w:p w:rsidR="005C4D0C" w:rsidRPr="000E4ED7" w:rsidRDefault="005C4D0C" w:rsidP="005C4D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VII. Требования к технической эксплуатации высокоскоростного железнодорожного подвижного состава и подвижного состава для обслуживания инфраструктуры ВСМ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23. Владельцу высокоскоростного железнодорожного подвижного состава и владельцу подвижного состава для обслуживания инфраструктуры ВСМ запрещается эксплуатация высокоскоростного железнодорожного подвижного состава, подвижного состава для обслуживания инфраструктуры ВСМ и их составных частей: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с истекшим назначенным сроком службы80 (ресурсом);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не соответствующих требованиям эксплуатационной и (или) ремонтной документации и требованиям настоящих Правил;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в) с нечитаемыми, неразличимыми или отсутствующими маркировкой или приемочными клеймами в случаях, когда наличие клейм и маркировки предусмотрено конструкторской документацией;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г) без проверки работоспособности и в случае неисправности следующих устройств, средств и систем, установленных на высокоскоростном железнодорожном подвижном составе или подвижном составе для обслуживания инфраструктуры ВСМ: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устройств безопасности;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тормозной системы;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устройств поездной и станционной радиосвязи, в том числе устрой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ств св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>язи с начальником (механиком-бригадиром) высокоскоростного пассажирского поезда или поезда для обслуживания инфраструктуры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средств беспроводной передачи данных, посредством применения которых обеспечивается работа высокоскоростного железнодорожного подвижного состава и подвижного состава для обслуживания инфраструктуры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систем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автоведения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>, регистрации параметров работы, учета расхода электроэнергии;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системы автоматического режима и (или) дистанционного режима83 управления;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системы автоматического мониторинга состояния систем и узлов высокоскоростного железнодорожного подвижного состава и подвижного состава для обслуживания инфраструктуры ВСМ, посредством применения которой обеспечивается безопасность движения;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системы автоматической пожарной сигнализации;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системы защиты электрической и электронной аппаратуры высокоскоростного железнодорожного подвижного состава и подвижного состава для обслуживания инфраструктуры ВСМ от влияния токов тягового электроснабжения.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24. Владелец высокоскоростного железнодорожного подвижного состава и владелец подвижного состава для обслуживания инфраструктуры ВСМ должны обеспечивать: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техническое обслуживание и ремонт высокоскоростного железнодорожного подвижного состава и подвижного состава для обслуживания инфраструктуры ВСМ в соответствии с периодичностью, установленной в эксплуатационной и (или) ремонтной документации, и с соблюдением назначенного срока службы (ресурса);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б) ведение паспорта84 или формуляра на бумажном носителе и (или) в электронном виде для каждой единицы высокоскоростного железнодорожного подвижного состава и подвижного состава для обслуживания инфраструктуры ВСМ, который должен содержать сведения о его вводе в эксплуатацию, информацию о комплектности, свидетельстве о приемке, модернизации86, проведенных плановых ремонтах и техническом обслуживании, о комплектации номерными составными частями;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в) ремонт, в том числе проводимый в рамках сервисного обслуживания высокоскоростного железнодорожного подвижного состава и подвижного состава для обслуживания инфраструктуры ВСМ, на предприятиях,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имеющих условный номер клеймения87, полученный на соответствующие виды работ;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г) ремонт составных частей высокоскоростного железнодорожного подвижного состава и подвижного состава для обслуживания инфраструктуры ВСМ, входящих в перечень его составных частей, подлежащих клеймению88, на предприятиях, имеющих условный номер клеймения;</w:t>
      </w:r>
      <w:r w:rsidRPr="00E47895">
        <w:rPr>
          <w:rFonts w:ascii="Times New Roman" w:hAnsi="Times New Roman" w:cs="Times New Roman"/>
          <w:sz w:val="28"/>
          <w:szCs w:val="28"/>
        </w:rPr>
        <w:cr/>
        <w:t>д) диагностирование и мониторинг высокоскоростного железнодорожного подвижного состава и подвижного состава для обслуживания инфраструктуры ВСМ, их систем управления и составных частей, обеспечивающих безопасность движения, в пути следования;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е) целостность и читаемость маркировки каждой единицы высокоскоростного железнодорожного подвижного состава при эксплуатации на инфраструктуре ВСМ, нанесенной в соответствии с пунктом 90 TP ТС 002/2011, а для подвижного состава для обслуживания инфраструктуры ВСМ в соответствии с пунктом 100 технического регламента Таможенного союза "О безопасности железнодорожного подвижного состава" (TP ТС 001/2011), принятого Решением Комиссии Таможенного союза от 15 июля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2011 г. № 710 (далее - TP ТС 001/2011)89;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ж) соответствие колесных пар эксплуатационной документации (при проведении технического обслуживания высокоскоростного железнодорожного подвижного состава и подвижного состава для обслуживания инфраструктуры ВСМ) или ремонтной документации (при проведении ремонта высокоскоростного железнодорожного подвижного состава и подвижного состава для обслуживания инфраструктуры ВСМ) и отсутствие неисправностей, установленных пунктом 30 настоящих Правил;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з) наличие на колесной паре знаков о дате и месте их изготовления и последнего выполненного ремонта.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25. Владелец высокоскоростного железнодорожного подвижного состава и владелец подвижного состава для обслуживания инфраструктуры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ВСМ в целях их технической эксплуатации должны обеспечивать проверку работоспособности устройств безопасности высокоскоростного железнодорожного подвижного состава и подвижного состава для обслуживания инфраструктуры ВСМ с выполнением следующих условий: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не должно допускаться: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появление разрешающего показания на бортовых устройствах безопасности вместо запрещающего или появление показания, разрешающего движение с большей скоростью вместо показания, требующего продолжения следования высокоскоростного пассажирского поезда или поезда для обслуживания инфраструктуры ВСМ с уменьшенной скоростью;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появление показаний на бортовых устройствах безопасности, не соответствующих сигналам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СИР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движение высокоскоростного пассажирского поезда или поезда для обслуживания инфраструктуры ВСМ со скоростью выше скорости, установленной владельцем инфраструктуры ВСМ, за исключением случаев применения ответственных команд90;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7895">
        <w:rPr>
          <w:rFonts w:ascii="Times New Roman" w:hAnsi="Times New Roman" w:cs="Times New Roman"/>
          <w:sz w:val="28"/>
          <w:szCs w:val="28"/>
        </w:rPr>
        <w:t>трогание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с места высокоскоростного пассажирского поезда или поезда для обслуживания инфраструктуры ВСМ при запрещающем показании индикатора, за исключением случаев применения ответственных команд;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должны обеспечиваться: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показания скорости в момент движения, допустимой скорости движения91, скорости, рассчитываемой системой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автоведения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, времени суток, информации о состоянии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блок-участков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>, расположенных впереди по ходу движения, расстояния до точки остановки или ее координата, координаты местоположения (дополнительные показания должны соответствовать конструкторской документации на данные устройства);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контроль соблюдения допустимой скорости движения высокоскоростного пассажирского поезда или поезда для обслуживания инфраструктуры ВСМ;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работоспособность устройств контроля бдительности машиниста92;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регистрация параметров, связанных с движением высокоскоростного пассажирского поезда или поезда для обслуживания инфраструктуры ВСМ, и действий машиниста;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хранение базы данных ординат объектов по участку следования (электронных карт);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автоматическая остановка высокоскоростного пассажирского поезда или поезда для обслуживания инфраструктуры ВСМ при превышении допустимой скорости движения или потери бдительности машиниста.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26. Перевозчик на инфраструктуре ВСМ (при организации перевозки пассажиров высокоскоростными пассажирскими поездами) и владелец инфраструктуры ВСМ (при организации работ по обслуживанию инфраструктуры ВСМ) должен обеспечивать выполнение следующих требований: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в высокоскоростные пассажирские поезда или поезда для обслуживания инфраструктуры ВСМ запрещается включать высокоскоростной железнодорожный подвижной состав или подвижной состав для обслуживания инфраструктуры ВСМ соответственно в технически неисправном состоянии;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обслуживание высокоскоростного железнодорожного подвижного состава или подвижного состава для обслуживания инфраструктуры ВСМ машинистом без помощника машиниста допускается в соответствии с эксплуатационной документацией;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в) при обнаружении в пути следования на колесе колесной пары высокоскоростного железнодорожного подвижного состава или подвижного состава для обслуживания инфраструктуры ВСМ образования плоской площадки на поверхности катания колеса (далее - ползун (выбоина) или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выщербины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должны соблюдаться требования пункта 155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lastRenderedPageBreak/>
        <w:t>г) на участках инфраструктуры ВСМ допускается эксплуатация высокоскоростного железнодорожного подвижного состава или подвижного состава для обслуживания инфраструктуры ВСМ в автоматическом и (или) дистанционном режимах в случае наличия исправной системы управления в ручном режиме93.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27. Физические или юридические лица, выполняющие техническое обслуживание и (или) ремонт высокоскоростного железнодорожного подвижного состава и подвижного состава для обслуживания инфраструктуры ВСМ и его составных частей, должны соблюдать следующие требования: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а) техническое обслуживание и (или) ремонт высокоскоростного железнодорожного подвижного состава и подвижного состава для обслуживания инфраструктуры ВСМ и его составных частей должны выполняться в соответствии с эксплуатационной документацией (при выполнении технического обслуживания) или ремонтной документацией (при выполнении ремонта);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колесные пары высокоскоростного железнодорожного подвижного состава должны обслуживаться в соответствии с требованиями эксплуатационной и (или) ремонтной документации с устранением неисправностей, указанных в пункте 30 настоящих Правил и пункте 149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в) составные части, назначенный срок службы (ресурс) которых истек (при его наличии) и параметры которых превышают предельный допустимый износ, установленный ремонтной и (или) эксплуатационной документацией, запрещается устанавливать на высокоскоростной железнодорожной подвижной состав и подвижной состав для обслуживания инфраструктуры ВСМ;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г) колесные пары подвижного состава для обслуживания инфраструктуры ВСМ должны обслуживаться в соответствии с требованиями эксплуатационной документации (при техническом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обслуживании) и (или) ремонтной документации (при проведении ремонта) с устранением неисправностей, указанных в пунктах 148 - 154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д) сцепные устройства94 высокоскоростного железнодорожного подвижного состава и подвижного состава для обслуживания инфраструктуры ВСМ и переходники сцепки95 должны соответствовать требованиям пунктов 158 и 159 Правил технической эксплуатации железных дорог и не должны эксплуатироваться в случаях, указанных в пункте 157 Правил технической эксплуатации железных дорог;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е) имеющиеся на поверхности катания колесных пар высокоскоростного железнодорожного подвижного состава или подвижного состава для обслуживания инфраструктуры ВСМ загрязнения, ржавчины, обледенения,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напрессовка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снега, налипание битума, мазута и других веществ, снижающих надежность фиксации занятости участков железнодорожного пути высокоскоростным железнодорожным подвижным составом или подвижным составом для обслуживания инфраструктуры ВСМ, должны быть устранены.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Владелец инфраструктуры железнодорожного транспорта общего пользования перед отправлением подвижного состава для обслуживания инфраструктуры ВСМ с инфраструктуры железнодорожного транспорта общего пользования на инфраструктуру ВСМ должен проводить проверку наличия на нем устройств безопасности в работоспособном состоянии96, совместимых с СИР ВСМ, автоматического стояночного тормоза.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29. Владелец инфраструктуры ВСМ должен обеспечивать: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а) допуск подвижного состава для обслуживания инфраструктуры ВСМ с инфраструктуры железнодорожного транспорта общего пользования на инфраструктуру ВСМ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>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 xml:space="preserve">наличии у подвижного состава для обслуживания инфраструктуры ВСМ действующего акта допуска железнодорожного подвижного состава к эксплуатации на железнодорожных путях общего пользования после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изготовления, модернизации, ремонта97, выданного в соответствии с пунктом 135 Правил технической эксплуатации железных дорог;</w:t>
      </w:r>
      <w:proofErr w:type="gramEnd"/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895">
        <w:rPr>
          <w:rFonts w:ascii="Times New Roman" w:hAnsi="Times New Roman" w:cs="Times New Roman"/>
          <w:sz w:val="28"/>
          <w:szCs w:val="28"/>
        </w:rPr>
        <w:t>оборудовании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его устройствами безопасности, совместимыми с СИР ВСМ, и автоматическим стояночным тормозом;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б) организацию проследования опытных образцов высокоскоростного железнодорожного подвижного состава и подвижного состава для обслуживания инфраструктуры ВСМ к месту проведения испытаний (опытного пробега98), подконтрольной эксплуатации99 и обратно с соблюдением требований, установленных пунктами 3 - 6, 11, 16, 19, 21 - 31 настоящих Правил, Инструкции № 1, Инструкции № 2;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в) передислокацию по инфраструктуре ВСМ высокоскоростного железнодорожного подвижного состава и подвижного состава для обслуживания инфраструктуры ВСМ, отцепленного в пути следования по причине технической неисправности, к месту проведения ремонта с соблюдением требований, установленных Инструкцией № 2.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30. Запрещается эксплуатация колесных пар высокоскоростного железнодорожного подвижного состава, имеющих: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выщербины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на боковой поверхности обода колеса глубиной более 3 мм или длиной либо шириной более 24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E47895">
        <w:rPr>
          <w:rFonts w:ascii="Times New Roman" w:hAnsi="Times New Roman" w:cs="Times New Roman"/>
          <w:sz w:val="28"/>
          <w:szCs w:val="28"/>
        </w:rPr>
        <w:t>выщербины</w:t>
      </w:r>
      <w:proofErr w:type="spellEnd"/>
      <w:r w:rsidRPr="00E47895">
        <w:rPr>
          <w:rFonts w:ascii="Times New Roman" w:hAnsi="Times New Roman" w:cs="Times New Roman"/>
          <w:sz w:val="28"/>
          <w:szCs w:val="28"/>
        </w:rPr>
        <w:t xml:space="preserve"> на круге катания колесных пар глубиной более 1,5 мм или длиной либо шириной более 24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в) остроконечный накат на гребне колеса в зоне поверхности от точки, расположенной на расстоянии  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от вершины гребня, и до точки, расположенной на расстоянии   мм от поверхности катания;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г) отклонения от радиуса крутизны более 2 мм от номинального значения, установленного конструкторской документацией;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д) вмятины на поверхности катания колеса глубиной более 1 мм, длиной или шириной более 24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е) дефект на поверхности катания колеса, вызванный смещением металла более 0,5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lastRenderedPageBreak/>
        <w:t>ж) вертикальный подрез гребня более 2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з) разность толщин гребней у одной колесной пары более 1,5 мм при минимальной толщине одного из гребней не менее 29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и) забоины и вмятины средней части оси глубиной более 0,5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к) круговой неравномерный износ оси, характеризующийся углублением на средней части оси;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л) уширение обода колеса более 1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м) поверхностный откол наружной грани обода колеса глубиной более 0,5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н) ползун или выбоину на поверхности катания колеса колесной пары глубиной более 0,17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о) толщину обода колеса менее 30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п) расстояние между внутренними торцами ободьев колес менее 1439 мм и более 1443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р) трещины в любой части оси и (или) колеса колесной пары;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с) сдвиг и ослабление ступицы колеса на подступичной части оси;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т) следы контакта с электродом или с электросварочным проводом в любой части оси и (или) колеса;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у) равномерный прокат по кругу катания колеса - более 5 мм;</w:t>
      </w:r>
    </w:p>
    <w:p w:rsidR="00E47895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>ф) толщину гребня колеса менее 29 и более 35 мм с высотой гребня 28 мм - при измерении на расстоянии   мм от вершины гребня.</w:t>
      </w:r>
    </w:p>
    <w:p w:rsidR="00747836" w:rsidRPr="00E47895" w:rsidRDefault="00E47895" w:rsidP="00E47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895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E47895">
        <w:rPr>
          <w:rFonts w:ascii="Times New Roman" w:hAnsi="Times New Roman" w:cs="Times New Roman"/>
          <w:sz w:val="28"/>
          <w:szCs w:val="28"/>
        </w:rPr>
        <w:t>Владельцу инфраструктуры ВСМ и перевозчику запрещается допускать на инфраструктуру ВСМ высокоскоростной железнодорожный подвижной состав и подвижной состав для обслуживания инфраструктуры ВСМ, в конструкцию которого были внесены изменения, влияющие на его эксплуатационные характеристики, а также который был оборудован дополнительными составными частями и (или) программными средствами для эксплуатации в автоматическом и (или) дистанционном режимах, не соответствующих конструкторской документации, а также в случае</w:t>
      </w:r>
      <w:proofErr w:type="gramEnd"/>
      <w:r w:rsidRPr="00E47895">
        <w:rPr>
          <w:rFonts w:ascii="Times New Roman" w:hAnsi="Times New Roman" w:cs="Times New Roman"/>
          <w:sz w:val="28"/>
          <w:szCs w:val="28"/>
        </w:rPr>
        <w:t xml:space="preserve"> нарушения требований пункта 19 TP ТС 002/2011, а для подвижного состава </w:t>
      </w:r>
      <w:r w:rsidRPr="00E47895">
        <w:rPr>
          <w:rFonts w:ascii="Times New Roman" w:hAnsi="Times New Roman" w:cs="Times New Roman"/>
          <w:sz w:val="28"/>
          <w:szCs w:val="28"/>
        </w:rPr>
        <w:lastRenderedPageBreak/>
        <w:t>для обслуживания инфраструктуры ВСМ - с нарушением требований пункта 19 TP ТС 001/2011.</w:t>
      </w:r>
    </w:p>
    <w:sectPr w:rsidR="00747836" w:rsidRPr="00E4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C7B"/>
    <w:multiLevelType w:val="multilevel"/>
    <w:tmpl w:val="BFA6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2470A"/>
    <w:multiLevelType w:val="multilevel"/>
    <w:tmpl w:val="03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F3D40"/>
    <w:multiLevelType w:val="multilevel"/>
    <w:tmpl w:val="23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5193A"/>
    <w:multiLevelType w:val="multilevel"/>
    <w:tmpl w:val="F6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679F2"/>
    <w:multiLevelType w:val="multilevel"/>
    <w:tmpl w:val="1B8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B2FB8"/>
    <w:multiLevelType w:val="multilevel"/>
    <w:tmpl w:val="C85C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94685"/>
    <w:multiLevelType w:val="multilevel"/>
    <w:tmpl w:val="64C0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A6269"/>
    <w:multiLevelType w:val="multilevel"/>
    <w:tmpl w:val="457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4489F"/>
    <w:multiLevelType w:val="multilevel"/>
    <w:tmpl w:val="9D7E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23F7F"/>
    <w:multiLevelType w:val="hybridMultilevel"/>
    <w:tmpl w:val="F3D2488C"/>
    <w:lvl w:ilvl="0" w:tplc="3F3E8C68">
      <w:start w:val="1"/>
      <w:numFmt w:val="decimal"/>
      <w:lvlText w:val="%1."/>
      <w:lvlJc w:val="left"/>
      <w:pPr>
        <w:ind w:left="6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E4ED7"/>
    <w:rsid w:val="000F65B6"/>
    <w:rsid w:val="00111C22"/>
    <w:rsid w:val="00137243"/>
    <w:rsid w:val="00243F82"/>
    <w:rsid w:val="00343075"/>
    <w:rsid w:val="005C4D0C"/>
    <w:rsid w:val="00606B9C"/>
    <w:rsid w:val="00615902"/>
    <w:rsid w:val="00617EDA"/>
    <w:rsid w:val="00747836"/>
    <w:rsid w:val="00760E23"/>
    <w:rsid w:val="00836D86"/>
    <w:rsid w:val="008D0F23"/>
    <w:rsid w:val="0094197C"/>
    <w:rsid w:val="00A500D7"/>
    <w:rsid w:val="00B52807"/>
    <w:rsid w:val="00B7088B"/>
    <w:rsid w:val="00C760D7"/>
    <w:rsid w:val="00D04A6B"/>
    <w:rsid w:val="00D93ECB"/>
    <w:rsid w:val="00E41A6C"/>
    <w:rsid w:val="00E47895"/>
    <w:rsid w:val="00FC2223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paragraph" w:styleId="1">
    <w:name w:val="heading 1"/>
    <w:basedOn w:val="a"/>
    <w:next w:val="a"/>
    <w:link w:val="10"/>
    <w:uiPriority w:val="9"/>
    <w:qFormat/>
    <w:rsid w:val="005C4D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0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4307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5">
    <w:name w:val="Normal (Web)"/>
    <w:basedOn w:val="a"/>
    <w:uiPriority w:val="99"/>
    <w:unhideWhenUsed/>
    <w:rsid w:val="0034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43075"/>
    <w:rPr>
      <w:color w:val="0000FF"/>
      <w:u w:val="single"/>
    </w:rPr>
  </w:style>
  <w:style w:type="character" w:styleId="a7">
    <w:name w:val="Strong"/>
    <w:basedOn w:val="a0"/>
    <w:uiPriority w:val="22"/>
    <w:qFormat/>
    <w:rsid w:val="0034307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C4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4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6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0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9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800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56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93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32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55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80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29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2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96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85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13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24</cp:revision>
  <dcterms:created xsi:type="dcterms:W3CDTF">2020-09-02T04:13:00Z</dcterms:created>
  <dcterms:modified xsi:type="dcterms:W3CDTF">2026-03-04T11:22:00Z</dcterms:modified>
</cp:coreProperties>
</file>