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D7" w:rsidRDefault="000E4ED7" w:rsidP="000E4E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4ED7" w:rsidRPr="000E4ED7" w:rsidRDefault="000E4ED7" w:rsidP="000E4E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обслуживания и ремонта высокоскоростного подвижного состава.</w:t>
      </w:r>
    </w:p>
    <w:p w:rsidR="000E4ED7" w:rsidRPr="000E4ED7" w:rsidRDefault="000E4ED7" w:rsidP="000E4E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обслуживания и ремонта высокоскоростного железнодорожного подвижного состава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регламентируется нормативными документами, которые устанавливают требования к технической эксплуатации такого состава, в том числе локомотивов, пассажирских вагонов и мотор-вагонного подвижного состава с конструкционной скоростью более 200 км/ч. Эти требования направлены на обеспечение безопасности движения и эксплуатации подвижного состава, а также на соблюдение назначенного срока службы (ресурса).  </w:t>
      </w:r>
      <w:proofErr w:type="gramEnd"/>
    </w:p>
    <w:p w:rsidR="000E4ED7" w:rsidRPr="000E4ED7" w:rsidRDefault="000E4ED7" w:rsidP="000E4ED7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Обслуживание</w:t>
      </w:r>
    </w:p>
    <w:p w:rsidR="000E4ED7" w:rsidRPr="000E4ED7" w:rsidRDefault="000E4ED7" w:rsidP="000E4E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sz w:val="28"/>
          <w:szCs w:val="28"/>
        </w:rPr>
        <w:t>Некоторые требования к организации технического обслуживания высокоскоростного железнодорожного подвижного состава:</w:t>
      </w:r>
    </w:p>
    <w:p w:rsidR="000E4ED7" w:rsidRPr="000E4ED7" w:rsidRDefault="000E4ED7" w:rsidP="000E4ED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Периодичность обслуживания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устанавливается в эксплуатационной и (или) ремонтной документации.</w:t>
      </w:r>
    </w:p>
    <w:p w:rsidR="000E4ED7" w:rsidRPr="000E4ED7" w:rsidRDefault="000E4ED7" w:rsidP="000E4ED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Устранение неисправностей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например, загрязнений, ржавчины, обледенения на поверхности катания колёсных пар, которые снижают надёжность фиксации занятости участков железнодорожного пути.</w:t>
      </w:r>
    </w:p>
    <w:p w:rsidR="000E4ED7" w:rsidRPr="000E4ED7" w:rsidRDefault="000E4ED7" w:rsidP="000E4ED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Проверка работоспособности устройств безопасности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владелец подвижного состава должен обеспечивать проверку работоспособности устройств безопасности.</w:t>
      </w:r>
    </w:p>
    <w:p w:rsidR="000E4ED7" w:rsidRPr="000E4ED7" w:rsidRDefault="000E4ED7" w:rsidP="000E4ED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Ведение паспорта или формуляра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для каждой единицы подвижного состава ведётся паспорт или формуляр на бумажном носителе и (или) в электронном виде, который содержит сведения о вводе в эксплуатацию, информации о комплектности, свидетельстве о приёмке, модернизации, проведённых плановых ремонтах и техническом обслуживании, о комплектации номерными составными частями.</w:t>
      </w:r>
    </w:p>
    <w:p w:rsidR="000E4ED7" w:rsidRPr="000E4ED7" w:rsidRDefault="000E4ED7" w:rsidP="000E4ED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Устранение неисправностей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— например, при обнаружении в пути следования на колесе колёсной пары образования плоской площадки 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(ползуна) или </w:t>
      </w:r>
      <w:proofErr w:type="spellStart"/>
      <w:r w:rsidRPr="000E4ED7">
        <w:rPr>
          <w:rFonts w:ascii="Times New Roman" w:eastAsia="Times New Roman" w:hAnsi="Times New Roman" w:cs="Times New Roman"/>
          <w:sz w:val="28"/>
          <w:szCs w:val="28"/>
        </w:rPr>
        <w:t>выщербины</w:t>
      </w:r>
      <w:proofErr w:type="spellEnd"/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 должны соблюдаться требования пункта 155 Правил технической эксплуатации железных дорог.</w:t>
      </w:r>
    </w:p>
    <w:p w:rsidR="000E4ED7" w:rsidRPr="000E4ED7" w:rsidRDefault="000E4ED7" w:rsidP="000E4ED7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Ремонт</w:t>
      </w:r>
    </w:p>
    <w:p w:rsidR="000E4ED7" w:rsidRPr="000E4ED7" w:rsidRDefault="000E4ED7" w:rsidP="000E4E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sz w:val="28"/>
          <w:szCs w:val="28"/>
        </w:rPr>
        <w:t>Некоторые требования к организации ремонта высокоскоростного железнодорожного подвижного состава:</w:t>
      </w:r>
    </w:p>
    <w:p w:rsidR="000E4ED7" w:rsidRPr="000E4ED7" w:rsidRDefault="000E4ED7" w:rsidP="000E4ED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Ремонт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в том числе проводимый в рамках сервисного обслуживания, должен осуществляться на предприятиях, имеющих условный номер клеймения, полученный на соответствующие виды работ.</w:t>
      </w:r>
    </w:p>
    <w:p w:rsidR="000E4ED7" w:rsidRPr="000E4ED7" w:rsidRDefault="000E4ED7" w:rsidP="000E4ED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Ремонт составных частей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например, входящих в перечень составных частей, подлежащих клеймению, — на предприятиях, имеющих условный номер клеймения.</w:t>
      </w:r>
    </w:p>
    <w:p w:rsidR="000E4ED7" w:rsidRPr="000E4ED7" w:rsidRDefault="000E4ED7" w:rsidP="000E4ED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Запрет на установку составных частей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если назначенный срок службы (ресурс) истёк (при его наличии) и параметры составных частей превышают предельный допустимый износ, установленный ремонтной и (или) эксплуатационной документацией.</w:t>
      </w:r>
    </w:p>
    <w:p w:rsidR="000E4ED7" w:rsidRPr="000E4ED7" w:rsidRDefault="000E4ED7" w:rsidP="000E4ED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Передислокация подвижного состава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если состав отцеплен в пути следования по причине технической неисправности, он должен быть передислоцирован к месту проведения ремонта.</w:t>
      </w:r>
    </w:p>
    <w:p w:rsidR="000E4ED7" w:rsidRPr="000E4ED7" w:rsidRDefault="000E4ED7" w:rsidP="000E4ED7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</w:t>
      </w:r>
    </w:p>
    <w:p w:rsidR="000E4ED7" w:rsidRPr="000E4ED7" w:rsidRDefault="000E4ED7" w:rsidP="000E4E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sz w:val="28"/>
          <w:szCs w:val="28"/>
        </w:rPr>
        <w:t>Некоторые нормативные документы, регламентирующие обслуживание и ремонт высокоскоростного железнодорожного подвижного состава:</w:t>
      </w:r>
    </w:p>
    <w:p w:rsidR="000E4ED7" w:rsidRPr="000E4ED7" w:rsidRDefault="000E4ED7" w:rsidP="000E4ED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 Министерства транспорта Российской Федерации от 25 сентября 2025 г. №350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«Об утверждении Правил технической эксплуатации высокоскоростного железнодорожного транспорта». Устанавливает требования к технической эксплуатации высокоскоростного железнодорожного подвижного состава и подвижного состава для обслуживания инфраструктуры высокоскоростного железнодорожного транспорта (ВСМ).  </w:t>
      </w:r>
    </w:p>
    <w:p w:rsidR="000E4ED7" w:rsidRPr="000E4ED7" w:rsidRDefault="000E4ED7" w:rsidP="000E4ED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Ремонтная документация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— содержит указания по организации ремонта, правила и порядок выполнения капитального, среднего и текущего 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ремонта, контроля, регулирования, испытаний, консервации, транспортирования и хранения подвижного состава после ремонта, монтажа и испытания.  </w:t>
      </w:r>
    </w:p>
    <w:p w:rsidR="000E4ED7" w:rsidRPr="000E4ED7" w:rsidRDefault="000E4ED7" w:rsidP="000E4ED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по эксплуатации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— содержит сведения о конструкции, принципе действия, характеристиках подвижного состава и указания, необходимые для правильной и безопасной эксплуатации.  </w:t>
      </w:r>
    </w:p>
    <w:p w:rsidR="000E4ED7" w:rsidRPr="000E4ED7" w:rsidRDefault="000E4ED7" w:rsidP="000E4ED7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</w:t>
      </w:r>
    </w:p>
    <w:p w:rsidR="000E4ED7" w:rsidRPr="000E4ED7" w:rsidRDefault="000E4ED7" w:rsidP="000E4E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sz w:val="28"/>
          <w:szCs w:val="28"/>
        </w:rPr>
        <w:t>За соблюдением требований по обслуживанию и ремонту высокоскоростного железнодорожного подвижного состава осуществляется, например:</w:t>
      </w:r>
    </w:p>
    <w:p w:rsidR="000E4ED7" w:rsidRPr="000E4ED7" w:rsidRDefault="000E4ED7" w:rsidP="000E4ED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Проверка работоспособности устройств безопасности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— владелец подвижного состава должен обеспечивать проверку работоспособности устройств безопасности.  </w:t>
      </w:r>
    </w:p>
    <w:p w:rsidR="000E4ED7" w:rsidRPr="000E4ED7" w:rsidRDefault="000E4ED7" w:rsidP="000E4ED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устранением неисправностей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— например, при обнаружении неисправностей, угрожающих жизни и здоровью людей или безопасности движения железнодорожного транспорта, должны приниматься меры для остановки поезда, устранения неисправностей и (или) их ограждения.  </w:t>
      </w:r>
    </w:p>
    <w:p w:rsidR="000E4ED7" w:rsidRDefault="000E4ED7" w:rsidP="000E4ED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соблюдением периодичности обслуживания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владелец подвижного состава должен обеспечивать, что техническое обслуживание и ремонт проводятся в соответствии с периодичностью, установленной в эксплуатационной и (или) ремонтной документации.</w:t>
      </w:r>
    </w:p>
    <w:p w:rsidR="005C4D0C" w:rsidRDefault="005C4D0C" w:rsidP="005C4D0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4D0C" w:rsidRPr="005C4D0C" w:rsidRDefault="005C4D0C" w:rsidP="005C4D0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4D0C">
        <w:rPr>
          <w:rFonts w:ascii="Times New Roman" w:eastAsia="Times New Roman" w:hAnsi="Times New Roman" w:cs="Times New Roman"/>
          <w:b/>
          <w:sz w:val="28"/>
          <w:szCs w:val="28"/>
        </w:rPr>
        <w:t>Выписка из Приказа Министерства транспорта Российской Федерации от 25 сентября 2025 г. № 350 "Об утверждении Правил технической эксплуатации высокоскоростного железнодорожного транспорта"</w:t>
      </w:r>
    </w:p>
    <w:p w:rsidR="005C4D0C" w:rsidRPr="000E4ED7" w:rsidRDefault="005C4D0C" w:rsidP="005C4D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lastRenderedPageBreak/>
        <w:t>VII. Требования к технической эксплуатации высокоскоростного железнодорожного подвижного состава и подвижного состава для обслуживания инфраструктуры ВСМ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23. Владельцу высокоскоростного железнодорожного подвижного состава и владельцу подвижного состава для обслуживания инфраструктуры ВСМ запрещается эксплуатация высокоскоростного железнодорожного подвижного состава, подвижного состава для обслуживания инфраструктуры ВСМ и их составных частей: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а) с истекшим назначенным сроком службы80 (ресурсом);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б) не соответствующих требованиям эксплуатационной и (или) ремонтной документации и требованиям настоящих Правил;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в) с нечитаемыми, неразличимыми или отсутствующими маркировкой или приемочными клеймами в случаях, когда наличие клейм и маркировки предусмотрено конструкторской документацией;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г) без проверки работоспособности и в случае неисправности следующих устройств, средств и систем, установленных на высокоскоростном железнодорожном подвижном составе или подвижном составе для обслуживания инфраструктуры ВСМ: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устройств безопасности;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тормозной системы;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устройств поездной и станционной радиосвязи, в том числе устрой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ств св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>язи с начальником (механиком-бригадиром) высокоскоростного пассажирского поезда или поезда для обслуживания инфраструктуры ВСМ;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средств беспроводной передачи данных, посредством применения которых обеспечивается работа высокоскоростного железнодорожного подвижного состава и подвижного состава для обслуживания инфраструктуры ВСМ;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систем </w:t>
      </w:r>
      <w:proofErr w:type="spellStart"/>
      <w:r w:rsidRPr="00E47895">
        <w:rPr>
          <w:rFonts w:ascii="Times New Roman" w:hAnsi="Times New Roman" w:cs="Times New Roman"/>
          <w:sz w:val="28"/>
          <w:szCs w:val="28"/>
        </w:rPr>
        <w:t>автоведения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>, регистрации параметров работы, учета расхода электроэнергии;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lastRenderedPageBreak/>
        <w:t>системы автоматического режима и (или) дистанционного режима83 управления;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системы автоматического мониторинга состояния систем и узлов высокоскоростного железнодорожного подвижного состава и подвижного состава для обслуживания инфраструктуры ВСМ, посредством применения которой обеспечивается безопасность движения;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системы автоматической пожарной сигнализации;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системы защиты электрической и электронной аппаратуры высокоскоростного железнодорожного подвижного состава и подвижного состава для обслуживания инфраструктуры ВСМ от влияния токов тягового электроснабжения.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24. Владелец высокоскоростного железнодорожного подвижного состава и владелец подвижного состава для обслуживания инфраструктуры ВСМ должны обеспечивать: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а) техническое обслуживание и ремонт высокоскоростного железнодорожного подвижного состава и подвижного состава для обслуживания инфраструктуры ВСМ в соответствии с периодичностью, установленной в эксплуатационной и (или) ремонтной документации, и с соблюдением назначенного срока службы (ресурса);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895">
        <w:rPr>
          <w:rFonts w:ascii="Times New Roman" w:hAnsi="Times New Roman" w:cs="Times New Roman"/>
          <w:sz w:val="28"/>
          <w:szCs w:val="28"/>
        </w:rPr>
        <w:t>б) ведение паспорта84 или формуляра</w:t>
      </w:r>
      <w:bookmarkStart w:id="0" w:name="_GoBack"/>
      <w:bookmarkEnd w:id="0"/>
      <w:r w:rsidRPr="00E47895">
        <w:rPr>
          <w:rFonts w:ascii="Times New Roman" w:hAnsi="Times New Roman" w:cs="Times New Roman"/>
          <w:sz w:val="28"/>
          <w:szCs w:val="28"/>
        </w:rPr>
        <w:t xml:space="preserve"> на бумажном носителе и (или) в электронном виде для каждой единицы высокоскоростного железнодорожного подвижного состава и подвижного состава для обслуживания инфраструктуры ВСМ, который должен содержать сведения о его вводе в эксплуатацию, информацию о комплектности, свидетельстве о приемке, модернизации86, проведенных плановых ремонтах и техническом обслуживании, о комплектации номерными составными частями;</w:t>
      </w:r>
      <w:proofErr w:type="gramEnd"/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в) ремонт, в том числе проводимый в рамках сервисного обслуживания высокоскоростного железнодорожного подвижного состава и подвижного состава для обслуживания инфраструктуры ВСМ, на предприятиях, </w:t>
      </w:r>
      <w:r w:rsidRPr="00E47895">
        <w:rPr>
          <w:rFonts w:ascii="Times New Roman" w:hAnsi="Times New Roman" w:cs="Times New Roman"/>
          <w:sz w:val="28"/>
          <w:szCs w:val="28"/>
        </w:rPr>
        <w:lastRenderedPageBreak/>
        <w:t>имеющих условный номер клеймения87, полученный на соответствующие виды работ;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895">
        <w:rPr>
          <w:rFonts w:ascii="Times New Roman" w:hAnsi="Times New Roman" w:cs="Times New Roman"/>
          <w:sz w:val="28"/>
          <w:szCs w:val="28"/>
        </w:rPr>
        <w:t>г) ремонт составных частей высокоскоростного железнодорожного подвижного состава и подвижного состава для обслуживания инфраструктуры ВСМ, входящих в перечень его составных частей, подлежащих клеймению88, на предприятиях, имеющих условный номер клеймения;</w:t>
      </w:r>
      <w:r w:rsidRPr="00E47895">
        <w:rPr>
          <w:rFonts w:ascii="Times New Roman" w:hAnsi="Times New Roman" w:cs="Times New Roman"/>
          <w:sz w:val="28"/>
          <w:szCs w:val="28"/>
        </w:rPr>
        <w:cr/>
        <w:t>д) диагностирование и мониторинг высокоскоростного железнодорожного подвижного состава и подвижного состава для обслуживания инфраструктуры ВСМ, их систем управления и составных частей, обеспечивающих безопасность движения, в пути следования;</w:t>
      </w:r>
      <w:proofErr w:type="gramEnd"/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895">
        <w:rPr>
          <w:rFonts w:ascii="Times New Roman" w:hAnsi="Times New Roman" w:cs="Times New Roman"/>
          <w:sz w:val="28"/>
          <w:szCs w:val="28"/>
        </w:rPr>
        <w:t>е) целостность и читаемость маркировки каждой единицы высокоскоростного железнодорожного подвижного состава при эксплуатации на инфраструктуре ВСМ, нанесенной в соответствии с пунктом 90 TP ТС 002/2011, а для подвижного состава для обслуживания инфраструктуры ВСМ в соответствии с пунктом 100 технического регламента Таможенного союза "О безопасности железнодорожного подвижного состава" (TP ТС 001/2011), принятого Решением Комиссии Таможенного союза от 15 июля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2011 г. № 710 (далее - TP ТС 001/2011)89;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ж) соответствие колесных пар эксплуатационной документации (при проведении технического обслуживания высокоскоростного железнодорожного подвижного состава и подвижного состава для обслуживания инфраструктуры ВСМ) или ремонтной документации (при проведении ремонта высокоскоростного железнодорожного подвижного состава и подвижного состава для обслуживания инфраструктуры ВСМ) и отсутствие неисправностей, установленных пунктом 30 настоящих Правил;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з) наличие на колесной паре знаков о дате и месте их изготовления и последнего выполненного ремонта.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25. Владелец высокоскоростного железнодорожного подвижного состава и владелец подвижного состава для обслуживания инфраструктуры </w:t>
      </w:r>
      <w:r w:rsidRPr="00E47895">
        <w:rPr>
          <w:rFonts w:ascii="Times New Roman" w:hAnsi="Times New Roman" w:cs="Times New Roman"/>
          <w:sz w:val="28"/>
          <w:szCs w:val="28"/>
        </w:rPr>
        <w:lastRenderedPageBreak/>
        <w:t>ВСМ в целях их технической эксплуатации должны обеспечивать проверку работоспособности устройств безопасности высокоскоростного железнодорожного подвижного состава и подвижного состава для обслуживания инфраструктуры ВСМ с выполнением следующих условий: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а) не должно допускаться: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появление разрешающего показания на бортовых устройствах безопасности вместо запрещающего или появление показания, разрешающего движение с большей скоростью вместо показания, требующего продолжения следования высокоскоростного пассажирского поезда или поезда для обслуживания инфраструктуры ВСМ с уменьшенной скоростью;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появление показаний на бортовых устройствах безопасности, не соответствующих сигналам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СИР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ВСМ;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движение высокоскоростного пассажирского поезда или поезда для обслуживания инфраструктуры ВСМ со скоростью выше скорости, установленной владельцем инфраструктуры ВСМ, за исключением случаев применения ответственных команд90;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7895">
        <w:rPr>
          <w:rFonts w:ascii="Times New Roman" w:hAnsi="Times New Roman" w:cs="Times New Roman"/>
          <w:sz w:val="28"/>
          <w:szCs w:val="28"/>
        </w:rPr>
        <w:t>трогание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 xml:space="preserve"> с места высокоскоростного пассажирского поезда или поезда для обслуживания инфраструктуры ВСМ при запрещающем показании индикатора, за исключением случаев применения ответственных команд;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б) должны обеспечиваться: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показания скорости в момент движения, допустимой скорости движения91, скорости, рассчитываемой системой </w:t>
      </w:r>
      <w:proofErr w:type="spellStart"/>
      <w:r w:rsidRPr="00E47895">
        <w:rPr>
          <w:rFonts w:ascii="Times New Roman" w:hAnsi="Times New Roman" w:cs="Times New Roman"/>
          <w:sz w:val="28"/>
          <w:szCs w:val="28"/>
        </w:rPr>
        <w:t>автоведения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 xml:space="preserve">, времени суток, информации о состоянии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блок-участков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>, расположенных впереди по ходу движения, расстояния до точки остановки или ее координата, координаты местоположения (дополнительные показания должны соответствовать конструкторской документации на данные устройства);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контроль соблюдения допустимой скорости движения высокоскоростного пассажирского поезда или поезда для обслуживания инфраструктуры ВСМ;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lastRenderedPageBreak/>
        <w:t>работоспособность устройств контроля бдительности машиниста92;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регистрация параметров, связанных с движением высокоскоростного пассажирского поезда или поезда для обслуживания инфраструктуры ВСМ, и действий машиниста;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хранение базы данных ординат объектов по участку следования (электронных карт);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автоматическая остановка высокоскоростного пассажирского поезда или поезда для обслуживания инфраструктуры ВСМ при превышении допустимой скорости движения или потери бдительности машиниста.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26. Перевозчик на инфраструктуре ВСМ (при организации перевозки пассажиров высокоскоростными пассажирскими поездами) и владелец инфраструктуры ВСМ (при организации работ по обслуживанию инфраструктуры ВСМ) должен обеспечивать выполнение следующих требований: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а) в высокоскоростные пассажирские поезда или поезда для обслуживания инфраструктуры ВСМ запрещается включать высокоскоростной железнодорожный подвижной состав или подвижной состав для обслуживания инфраструктуры ВСМ соответственно в технически неисправном состоянии;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б) обслуживание высокоскоростного железнодорожного подвижного состава или подвижного состава для обслуживания инфраструктуры ВСМ машинистом без помощника машиниста допускается в соответствии с эксплуатационной документацией;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в) при обнаружении в пути следования на колесе колесной пары высокоскоростного железнодорожного подвижного состава или подвижного состава для обслуживания инфраструктуры ВСМ образования плоской площадки на поверхности катания колеса (далее - ползун (выбоина) или </w:t>
      </w:r>
      <w:proofErr w:type="spellStart"/>
      <w:r w:rsidRPr="00E47895">
        <w:rPr>
          <w:rFonts w:ascii="Times New Roman" w:hAnsi="Times New Roman" w:cs="Times New Roman"/>
          <w:sz w:val="28"/>
          <w:szCs w:val="28"/>
        </w:rPr>
        <w:t>выщербины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 xml:space="preserve"> должны соблюдаться требования пункта 155 Правил технической эксплуатации железных дорог;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lastRenderedPageBreak/>
        <w:t xml:space="preserve">г) на участках инфраструктуры ВСМ допускается эксплуатация высокоскоростного железнодорожного подвижного состава или подвижного состава для обслуживания инфраструктуры ВСМ в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автоматическом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и (или) дистанционном режимах в случае наличия исправной системы управления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ручном режиме93.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27. Физические или юридические лица, выполняющие техническое обслуживание и (или) ремонт высокоскоростного железнодорожного подвижного состава и подвижного состава для обслуживания инфраструктуры ВСМ и его составных частей, должны соблюдать следующие требования: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а) техническое обслуживание и (или) ремонт высокоскоростного железнодорожного подвижного состава и подвижного состава для обслуживания инфраструктуры ВСМ и его составных частей должны выполняться в соответствии с эксплуатационной документацией (при выполнении технического обслуживания) или ремонтной документацией (при выполнении ремонта);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б) колесные пары высокоскоростного железнодорожного подвижного состава должны обслуживаться в соответствии с требованиями эксплуатационной и (или) ремонтной документации с устранением неисправностей, указанных в пункте 30 настоящих Правил и пункте 149 Правил технической эксплуатации железных дорог;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895">
        <w:rPr>
          <w:rFonts w:ascii="Times New Roman" w:hAnsi="Times New Roman" w:cs="Times New Roman"/>
          <w:sz w:val="28"/>
          <w:szCs w:val="28"/>
        </w:rPr>
        <w:t>в) составные части, назначенный срок службы (ресурс) которых истек (при его наличии) и параметры которых превышают предельный допустимый износ, установленный ремонтной и (или) эксплуатационной документацией, запрещается устанавливать на высокоскоростной железнодорожной подвижной состав и подвижной состав для обслуживания инфраструктуры ВСМ;</w:t>
      </w:r>
      <w:proofErr w:type="gramEnd"/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г) колесные пары подвижного состава для обслуживания инфраструктуры ВСМ должны обслуживаться в соответствии с требованиями эксплуатационной документации (при техническом </w:t>
      </w:r>
      <w:r w:rsidRPr="00E47895">
        <w:rPr>
          <w:rFonts w:ascii="Times New Roman" w:hAnsi="Times New Roman" w:cs="Times New Roman"/>
          <w:sz w:val="28"/>
          <w:szCs w:val="28"/>
        </w:rPr>
        <w:lastRenderedPageBreak/>
        <w:t>обслуживании) и (или) ремонтной документации (при проведении ремонта) с устранением неисправностей, указанных в пунктах 148 - 154 Правил технической эксплуатации железных дорог;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д) сцепные устройства94 высокоскоростного железнодорожного подвижного состава и подвижного состава для обслуживания инфраструктуры ВСМ и переходники сцепки95 должны соответствовать требованиям пунктов 158 и 159 Правил технической эксплуатации железных дорог и не должны эксплуатироваться в случаях, указанных в пункте 157 Правил технической эксплуатации железных дорог;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е) имеющиеся на поверхности катания колесных пар высокоскоростного железнодорожного подвижного состава или подвижного состава для обслуживания инфраструктуры ВСМ загрязнения, ржавчины, обледенения, </w:t>
      </w:r>
      <w:proofErr w:type="spellStart"/>
      <w:r w:rsidRPr="00E47895">
        <w:rPr>
          <w:rFonts w:ascii="Times New Roman" w:hAnsi="Times New Roman" w:cs="Times New Roman"/>
          <w:sz w:val="28"/>
          <w:szCs w:val="28"/>
        </w:rPr>
        <w:t>напрессовка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 xml:space="preserve"> снега, налипание битума, мазута и других веществ, снижающих надежность фиксации занятости участков железнодорожного пути высокоскоростным железнодорожным подвижным составом или подвижным составом для обслуживания инфраструктуры ВСМ, должны быть устранены.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28.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Владелец инфраструктуры железнодорожного транспорта общего пользования перед отправлением подвижного состава для обслуживания инфраструктуры ВСМ с инфраструктуры железнодорожного транспорта общего пользования на инфраструктуру ВСМ должен проводить проверку наличия на нем устройств безопасности в работоспособном состоянии96, совместимых с СИР ВСМ, автоматического стояночного тормоза.</w:t>
      </w:r>
      <w:proofErr w:type="gramEnd"/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29. Владелец инфраструктуры ВСМ должен обеспечивать: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а) допуск подвижного состава для обслуживания инфраструктуры ВСМ с инфраструктуры железнодорожного транспорта общего пользования на инфраструктуру ВСМ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>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наличии у подвижного состава для обслуживания инфраструктуры ВСМ действующего акта допуска железнодорожного подвижного состава к эксплуатации на железнодорожных путях общего пользования после </w:t>
      </w:r>
      <w:r w:rsidRPr="00E47895">
        <w:rPr>
          <w:rFonts w:ascii="Times New Roman" w:hAnsi="Times New Roman" w:cs="Times New Roman"/>
          <w:sz w:val="28"/>
          <w:szCs w:val="28"/>
        </w:rPr>
        <w:lastRenderedPageBreak/>
        <w:t xml:space="preserve">изготовления, модернизации, ремонта97, выданного в соответствии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пунктом 135 Правил технической эксплуатации железных дорог;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895">
        <w:rPr>
          <w:rFonts w:ascii="Times New Roman" w:hAnsi="Times New Roman" w:cs="Times New Roman"/>
          <w:sz w:val="28"/>
          <w:szCs w:val="28"/>
        </w:rPr>
        <w:t>оборудовании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его устройствами безопасности, совместимыми с СИР ВСМ, и автоматическим стояночным тормозом;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б) организацию проследования опытных образцов высокоскоростного железнодорожного подвижного состава и подвижного состава для обслуживания инфраструктуры ВСМ к месту проведения испытаний (опытного пробега98), подконтрольной эксплуатации99 и обратно с соблюдением требований, установленных пунктами 3 - 6, 11, 16, 19, 21 - 31 настоящих Правил, Инструкции № 1, Инструкции № 2;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в) передислокацию по инфраструктуре ВСМ высокоскоростного железнодорожного подвижного состава и подвижного состава для обслуживания инфраструктуры ВСМ, отцепленного в пути следования по причине технической неисправности, к месту проведения ремонта с соблюдением требований, установленных Инструкцией № 2.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30. Запрещается эксплуатация колесных пар высокоскоростного железнодорожного подвижного состава, имеющих: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E47895">
        <w:rPr>
          <w:rFonts w:ascii="Times New Roman" w:hAnsi="Times New Roman" w:cs="Times New Roman"/>
          <w:sz w:val="28"/>
          <w:szCs w:val="28"/>
        </w:rPr>
        <w:t>выщербины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 xml:space="preserve"> на боковой поверхности обода колеса глубиной более 3 мм или длиной либо шириной более 24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E47895">
        <w:rPr>
          <w:rFonts w:ascii="Times New Roman" w:hAnsi="Times New Roman" w:cs="Times New Roman"/>
          <w:sz w:val="28"/>
          <w:szCs w:val="28"/>
        </w:rPr>
        <w:t>выщербины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 xml:space="preserve"> на круге катания колесных пар глубиной более 1,5 мм или длиной либо шириной более 24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в) остроконечный накат на гребне колеса в зоне поверхности от точки, расположенной на расстоянии  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от вершины гребня, и до точки, расположенной на расстоянии   мм от поверхности катания;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г) отклонения от радиуса крутизны более 2 мм от номинального значения, установленного конструкторской документацией;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д) вмятины на поверхности катания колеса глубиной более 1 мм, длиной или шириной более 24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е) дефект на поверхности катания колеса, вызванный смещением металла более 0,5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lastRenderedPageBreak/>
        <w:t>ж) вертикальный подрез гребня более 2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з) разность толщин гребней у одной колесной пары более 1,5 мм при минимальной толщине одного из гребней не менее 29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и) забоины и вмятины средней части оси глубиной более 0,5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к) круговой неравномерный износ оси, характеризующийся углублением на средней части оси;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л) уширение обода колеса более 1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м) поверхностный откол наружной грани обода колеса глубиной более 0,5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н) ползун или выбоину на поверхности катания колеса колесной пары глубиной более 0,17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о) толщину обода колеса менее 30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п) расстояние между внутренними торцами ободьев колес менее 1439 мм и более 1443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р) трещины в любой части оси и (или) колеса колесной пары;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с) сдвиг и ослабление ступицы колеса на подступичной части оси;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т) следы контакта с электродом или с электросварочным проводом в любой части оси и (или) колеса;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у) равномерный прокат по кругу катания колеса - более 5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ф) толщину гребня колеса менее 29 и более 35 мм с высотой гребня 28 мм - при измерении на расстоянии   мм от вершины гребня.</w:t>
      </w:r>
    </w:p>
    <w:p w:rsidR="00747836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31.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Владельцу инфраструктуры ВСМ и перевозчику запрещается допускать на инфраструктуру ВСМ высокоскоростной железнодорожный подвижной состав и подвижной состав для обслуживания инфраструктуры ВСМ, в конструкцию которого были внесены изменения, влияющие на его эксплуатационные характеристики, а также который был оборудован дополнительными составными частями и (или) программными средствами для эксплуатации в автоматическом и (или) дистанционном режимах, не соответствующих конструкторской документации, а также в случае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нарушения требований пункта 19 TP ТС 002/2011, а для подвижного состава </w:t>
      </w:r>
      <w:r w:rsidRPr="00E47895">
        <w:rPr>
          <w:rFonts w:ascii="Times New Roman" w:hAnsi="Times New Roman" w:cs="Times New Roman"/>
          <w:sz w:val="28"/>
          <w:szCs w:val="28"/>
        </w:rPr>
        <w:lastRenderedPageBreak/>
        <w:t>для обслуживания инфраструктуры ВСМ - с нарушением требований пункта 19 TP ТС 001/2011.</w:t>
      </w:r>
    </w:p>
    <w:sectPr w:rsidR="00747836" w:rsidRPr="00E47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C7B"/>
    <w:multiLevelType w:val="multilevel"/>
    <w:tmpl w:val="BFA6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2470A"/>
    <w:multiLevelType w:val="multilevel"/>
    <w:tmpl w:val="03C0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F3D40"/>
    <w:multiLevelType w:val="multilevel"/>
    <w:tmpl w:val="236E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55193A"/>
    <w:multiLevelType w:val="multilevel"/>
    <w:tmpl w:val="F6A8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0679F2"/>
    <w:multiLevelType w:val="multilevel"/>
    <w:tmpl w:val="1B80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B2FB8"/>
    <w:multiLevelType w:val="multilevel"/>
    <w:tmpl w:val="C85C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94685"/>
    <w:multiLevelType w:val="multilevel"/>
    <w:tmpl w:val="64C0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4A6269"/>
    <w:multiLevelType w:val="multilevel"/>
    <w:tmpl w:val="4576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A4489F"/>
    <w:multiLevelType w:val="multilevel"/>
    <w:tmpl w:val="9D7E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23F7F"/>
    <w:multiLevelType w:val="hybridMultilevel"/>
    <w:tmpl w:val="F3D2488C"/>
    <w:lvl w:ilvl="0" w:tplc="3F3E8C68">
      <w:start w:val="1"/>
      <w:numFmt w:val="decimal"/>
      <w:lvlText w:val="%1."/>
      <w:lvlJc w:val="left"/>
      <w:pPr>
        <w:ind w:left="6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88B"/>
    <w:rsid w:val="000E4ED7"/>
    <w:rsid w:val="000F65B6"/>
    <w:rsid w:val="00111C22"/>
    <w:rsid w:val="00137243"/>
    <w:rsid w:val="00243F82"/>
    <w:rsid w:val="00343075"/>
    <w:rsid w:val="005C4D0C"/>
    <w:rsid w:val="00606B9C"/>
    <w:rsid w:val="00617EDA"/>
    <w:rsid w:val="00747836"/>
    <w:rsid w:val="00760E23"/>
    <w:rsid w:val="00836D86"/>
    <w:rsid w:val="0094197C"/>
    <w:rsid w:val="00A500D7"/>
    <w:rsid w:val="00B52807"/>
    <w:rsid w:val="00B7088B"/>
    <w:rsid w:val="00C760D7"/>
    <w:rsid w:val="00D04A6B"/>
    <w:rsid w:val="00D93ECB"/>
    <w:rsid w:val="00E41A6C"/>
    <w:rsid w:val="00E47895"/>
    <w:rsid w:val="00FC2223"/>
    <w:rsid w:val="00FC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82"/>
  </w:style>
  <w:style w:type="paragraph" w:styleId="1">
    <w:name w:val="heading 1"/>
    <w:basedOn w:val="a"/>
    <w:next w:val="a"/>
    <w:link w:val="10"/>
    <w:uiPriority w:val="9"/>
    <w:qFormat/>
    <w:rsid w:val="005C4D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07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43075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5">
    <w:name w:val="Normal (Web)"/>
    <w:basedOn w:val="a"/>
    <w:uiPriority w:val="99"/>
    <w:unhideWhenUsed/>
    <w:rsid w:val="0034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43075"/>
    <w:rPr>
      <w:color w:val="0000FF"/>
      <w:u w:val="single"/>
    </w:rPr>
  </w:style>
  <w:style w:type="character" w:styleId="a7">
    <w:name w:val="Strong"/>
    <w:basedOn w:val="a0"/>
    <w:uiPriority w:val="22"/>
    <w:qFormat/>
    <w:rsid w:val="0034307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C4D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3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28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4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18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07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2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8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20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667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00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4197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96457607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33168870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497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040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899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0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59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18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800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56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93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320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55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80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296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2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96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85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5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13</Pages>
  <Words>2947</Words>
  <Characters>16801</Characters>
  <Application>Microsoft Office Word</Application>
  <DocSecurity>0</DocSecurity>
  <Lines>140</Lines>
  <Paragraphs>39</Paragraphs>
  <ScaleCrop>false</ScaleCrop>
  <Company/>
  <LinksUpToDate>false</LinksUpToDate>
  <CharactersWithSpaces>19709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23</cp:revision>
  <dcterms:created xsi:type="dcterms:W3CDTF">2020-09-02T04:13:00Z</dcterms:created>
  <dcterms:modified xsi:type="dcterms:W3CDTF">2026-03-03T07:00:00Z</dcterms:modified>
</cp:coreProperties>
</file>