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B383C" w14:textId="70E50BF2" w:rsidR="00DA304C" w:rsidRDefault="00DA304C" w:rsidP="00DA3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постановки в поезда вагонов с грузами, требующими особой осторожности, и специального железнодорожного подвижного состава</w:t>
      </w:r>
    </w:p>
    <w:p w14:paraId="1E08424B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798F6C4" w14:textId="763888F4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Вагоны (цистерны) с грузами, требующими особой осторожно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сти, при постановке в поезда в некоторых случаях должны иметь при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крытие от локомотивов, от вагонов с людьми и между собой. Сведе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ния об условиях перевозки грузов, требующих особой осторожности, перечень таких грузов и установленные нормы прикрытия приводят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ся в правилах перевозок грузов на железнодорожном транспорте.</w:t>
      </w:r>
    </w:p>
    <w:p w14:paraId="053BD55E" w14:textId="77777777" w:rsid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Данные, характеризующие основные свойства такого груза, а так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же необходимые нормы прикрытия, указываются также грузоотпра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вителем в грузовых документах. Одиночные вагоны с исправными ходовыми частями, непри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годные для следования в составе поезда, должны пересылаться к пун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ктам ремонта только отдельными локомотивами после составления вагонными депо или промывочно-пропарочными станциями уста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новленных пересылочных документов.</w:t>
      </w:r>
    </w:p>
    <w:p w14:paraId="023F940D" w14:textId="6C36A8FB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63176019"/>
      <w:r w:rsidRPr="00DA304C">
        <w:rPr>
          <w:rFonts w:ascii="Times New Roman" w:hAnsi="Times New Roman" w:cs="Times New Roman"/>
          <w:color w:val="000000"/>
          <w:sz w:val="28"/>
          <w:szCs w:val="28"/>
        </w:rPr>
        <w:t>Вагоны с грузами боковой и нижней негабаритно</w:t>
      </w:r>
      <w:r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 4-й, 5-й и 6-й степеней</w:t>
      </w:r>
      <w:bookmarkEnd w:id="0"/>
      <w:r w:rsidRPr="00DA304C">
        <w:rPr>
          <w:rFonts w:ascii="Times New Roman" w:hAnsi="Times New Roman" w:cs="Times New Roman"/>
          <w:color w:val="000000"/>
          <w:sz w:val="28"/>
          <w:szCs w:val="28"/>
        </w:rPr>
        <w:t>, установленные Инструкциейпо перевозке негабаритных и тяжеловесных грузов на железных дорогах государств-участников Содружества Независимых Государств, Латвийской Республики, Литовской Республики, Эстонской Республики утвержденной Со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ветом по железнодорожному транспорту государств-участников Содружества, протокол от 19.10,2001 №30 (с изменениями), </w:t>
      </w:r>
      <w:bookmarkStart w:id="1" w:name="_Hlk63176070"/>
      <w:r w:rsidRPr="00F43C91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должны иметь прикрытие </w:t>
      </w:r>
      <w:bookmarkStart w:id="2" w:name="_Hlk63176094"/>
      <w:bookmarkEnd w:id="1"/>
      <w:r w:rsidRPr="00F43C91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с головы и хвоста поезда не менее одного вагона с габаритным грузом или порожнего.</w:t>
      </w:r>
    </w:p>
    <w:bookmarkEnd w:id="2"/>
    <w:p w14:paraId="5C1F57D7" w14:textId="5B95AB71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Запрещается ставить вагоны с негабаритными грузами боковой и нижней негабаритно</w:t>
      </w:r>
      <w:r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 (кроме грузов негабаритно</w:t>
      </w:r>
      <w:r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 1-й — 3-й сте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пеней) в длинносоставные поезда.</w:t>
      </w:r>
    </w:p>
    <w:p w14:paraId="3979B7E3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C91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Вагон с контрольной рамой отделяется от локомотива одной по</w:t>
      </w:r>
      <w:r w:rsidRPr="00F43C91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softHyphen/>
        <w:t>рожней платформой для улучшения видимости контрольной рамы.</w:t>
      </w:r>
    </w:p>
    <w:p w14:paraId="1C39FC00" w14:textId="17DEE4E6" w:rsidR="008451B1" w:rsidRPr="00F43C91" w:rsidRDefault="00DA304C" w:rsidP="00DA304C">
      <w:pPr>
        <w:ind w:firstLine="567"/>
        <w:jc w:val="both"/>
        <w:rPr>
          <w:rFonts w:ascii="Times New Roman CYR" w:hAnsi="Times New Roman CYR" w:cs="Times New Roman CYR"/>
          <w:color w:val="FF0000"/>
          <w:sz w:val="20"/>
          <w:szCs w:val="20"/>
        </w:rPr>
      </w:pPr>
      <w:r w:rsidRPr="00F43C91">
        <w:rPr>
          <w:rFonts w:ascii="Times New Roman" w:hAnsi="Times New Roman" w:cs="Times New Roman"/>
          <w:color w:val="FF0000"/>
          <w:sz w:val="28"/>
          <w:szCs w:val="28"/>
        </w:rPr>
        <w:t xml:space="preserve">Вагон со сверхнегабаритным грузом ставится в состав поезда </w:t>
      </w:r>
      <w:r w:rsidRPr="00F43C91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не ближе 20 вагонов от вагона с контрольной рамой</w:t>
      </w:r>
      <w:r w:rsidRPr="00F43C91">
        <w:rPr>
          <w:rFonts w:ascii="Times New Roman CYR" w:hAnsi="Times New Roman CYR" w:cs="Times New Roman CYR"/>
          <w:color w:val="FF0000"/>
          <w:sz w:val="20"/>
          <w:szCs w:val="20"/>
          <w:highlight w:val="yellow"/>
        </w:rPr>
        <w:t>.</w:t>
      </w:r>
    </w:p>
    <w:p w14:paraId="341EFA21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При перевозке сверхнегабаритного груза с контрольной рамой в специальном поезде с отдельным локомотивом вагон с таким грузом должен находиться не </w:t>
      </w:r>
      <w:r w:rsidRPr="00F43C9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ближе 5 вагонов от вагона с контрольной ра</w:t>
      </w:r>
      <w:r w:rsidRPr="00F43C91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мой.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 От хвоста поезда вагон с таким грузом должен иметь прикрытие </w:t>
      </w:r>
      <w:r w:rsidRPr="00F43C91">
        <w:rPr>
          <w:rFonts w:ascii="Times New Roman" w:hAnsi="Times New Roman" w:cs="Times New Roman"/>
          <w:color w:val="000000"/>
          <w:sz w:val="28"/>
          <w:szCs w:val="28"/>
          <w:u w:val="single"/>
        </w:rPr>
        <w:t>не менее одного вагона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 с габаритным грузом или порожним.</w:t>
      </w:r>
    </w:p>
    <w:p w14:paraId="236E9284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В составы поездов разрешается включать груженые транспорте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ры грузоподъемностью до 240 т включительно.</w:t>
      </w:r>
    </w:p>
    <w:p w14:paraId="2BD786D7" w14:textId="4C46A486" w:rsidR="00DA304C" w:rsidRPr="00F43C91" w:rsidRDefault="00DA304C" w:rsidP="00F43C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Порядок следования транспортеров большей грузоподъемности, как в груженом, так и в порожнем состоянии, устанавливается техни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ческими условиями эксплуатации этих транспортеров или отдельны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 </w:t>
      </w:r>
      <w:r w:rsidRPr="00DA3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указаниями владельца инфраструктуры или владельца железно</w:t>
      </w:r>
      <w:r w:rsidRPr="00DA304C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  <w:t>дорожных путей необщего пользования.</w:t>
      </w:r>
    </w:p>
    <w:p w14:paraId="065CA220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lk63176331"/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При постановке в поезд груженых транспортеров с числом осей 12 и более (кроме транспортеров сцепного типа грузоподъемностью 120 т с одной или двумя 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промежуточными платформами) рядом с ними с каждой стороны должны ставиться</w:t>
      </w:r>
      <w:bookmarkEnd w:id="3"/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63176378"/>
      <w:r w:rsidRPr="00DA304C">
        <w:rPr>
          <w:rFonts w:ascii="Times New Roman" w:hAnsi="Times New Roman" w:cs="Times New Roman"/>
          <w:color w:val="000000"/>
          <w:sz w:val="28"/>
          <w:szCs w:val="28"/>
        </w:rPr>
        <w:t>не менее двух четырехос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ных вагонов прикрытия с грузом не более 40 т или порожних любого типа.</w:t>
      </w:r>
      <w:bookmarkEnd w:id="4"/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 При следовании в одном поезде нескольких таких транспорте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ров между ними ставится не менее трех таких вагонов прикрытия.</w:t>
      </w:r>
    </w:p>
    <w:p w14:paraId="2AC46C0F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63177094"/>
      <w:bookmarkStart w:id="6" w:name="_Hlk63177115"/>
      <w:bookmarkStart w:id="7" w:name="_GoBack"/>
      <w:r w:rsidRPr="00DA304C">
        <w:rPr>
          <w:rFonts w:ascii="Times New Roman" w:hAnsi="Times New Roman" w:cs="Times New Roman"/>
          <w:color w:val="000000"/>
          <w:sz w:val="28"/>
          <w:szCs w:val="28"/>
        </w:rPr>
        <w:t>Порожние и груженые транспортеры</w:t>
      </w:r>
      <w:bookmarkEnd w:id="5"/>
      <w:r w:rsidRPr="00DA304C">
        <w:rPr>
          <w:rFonts w:ascii="Times New Roman" w:hAnsi="Times New Roman" w:cs="Times New Roman"/>
          <w:color w:val="000000"/>
          <w:sz w:val="28"/>
          <w:szCs w:val="28"/>
        </w:rPr>
        <w:t>, четырехосные и сцепного типа грузоподъемностью 120 т ставятся в поезда без прикрытия.</w:t>
      </w:r>
    </w:p>
    <w:bookmarkEnd w:id="6"/>
    <w:bookmarkEnd w:id="7"/>
    <w:p w14:paraId="3317E9B6" w14:textId="77777777" w:rsid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Порожние транспортеры, имеющие </w:t>
      </w:r>
      <w:r w:rsidRPr="00DA3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 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и более осей, а </w:t>
      </w:r>
      <w:r w:rsidRPr="00DA3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также по</w:t>
      </w:r>
      <w:r w:rsidRPr="00DA304C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  <w:t xml:space="preserve">рожние 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>и груженые транспортеры сцепного типа грузоподъемностью 120 т (код типов 3960 и 3961) при следовании их в поездах весом более 3 тыс. т разрешается ставить только в последнюю четверть состава по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езда. При меньшем весе поезда указанные транспортеры можно ста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вить в любую часть состава поезда. </w:t>
      </w:r>
    </w:p>
    <w:p w14:paraId="4C724B66" w14:textId="376DB42C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Курсирование хоппер-дозаторов по </w:t>
      </w:r>
      <w:r w:rsidRPr="00DA3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железнодорожным путям общего пользования 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>допускается только замкнутыми маршрутами с одним турным вагоном в каждом маршруте для обслуживающего персонала.</w:t>
      </w:r>
    </w:p>
    <w:p w14:paraId="57C35AA0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Количество хоппер-дозаторов в каждом маршруте определяется исходя из технологических требований и условий разгрузки.</w:t>
      </w:r>
    </w:p>
    <w:p w14:paraId="1227C0F4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Порожние и груженые хоппер-дозаторные маршруты, курсиру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ющие в составе менее установленной графиком движения поездов нормы по длине или весу поезда, разрешается пополнять любым же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лезнодорожным подвижным составом, кроме думпкаров (за исключе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нием типов 6ВС-60, 7ВС-60 и ВС-66), не требующим отцепок на про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межуточных железнодорожных станциях и не ограничивающим ско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рости движения маршрутов, но при этом для маршрутов из хоппер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>дозаторов ЦНИИ-2 и ЦНИИ-3 суммарный вес груженого состава не должен превышать 2600 т. Скорости следования таких грузовых поез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дов не должны превышать скоростей движения находящихся в поезде хоппер-дозаторов.</w:t>
      </w:r>
    </w:p>
    <w:p w14:paraId="1A2202B2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О готовности маршрута из хоппер-дозаторов к следованию в груженом или порожнем состоянии с установленными допускаемы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ми скоростями движения по участку следования машинист хоппер- дозаторного маршрута обязан сделать запись в грузовых документах о том, что маршрут готов к следованию, все разгрузочно-дозировочные устройства хоппер-дозаторов проверены, осмотрены, приведены в полное транспортное положение. При следовании в груженом состоя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нии такая запись делается в накладной, а при следовании в порожнем состоянии — в пересылочной ведомости.</w:t>
      </w:r>
    </w:p>
    <w:p w14:paraId="25CE2708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Осмотр и необходимый ремонт вагонных частей производятся ра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ботниками пунктов технического обслуживания в обычном порядке.</w:t>
      </w:r>
    </w:p>
    <w:p w14:paraId="70BC1281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Без сопровождения хоппер-дозаторы могут отправляться в гру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зовых поездах только в порожнем состоянии по заявкам заводов- изготовителей, вагонных депо, ремонтных заводов, подразделений путевого хозяйства при необходимости пропуска их к месту припи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ски, в ремонт и из ремонта, с оформлением перевозки в соответствии с действующими нормами и правилами.</w:t>
      </w:r>
    </w:p>
    <w:p w14:paraId="7A1ECC55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До отправки хоппер-дозаторов отправитель приводит их в полное транспортное положение, а о готовности к следованию и допускаемых скоростях движения — делает на железнодорожной станции отправ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ления соответствующую запись в пересылочных документах.</w:t>
      </w:r>
    </w:p>
    <w:p w14:paraId="0A91C142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Груженый хоппер-дозатор, отцепленный от вертушки по неис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правности, до отправки в ремонт должен быть разгружен и после это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го приведен в полное транспортное положение. Начальник железно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дорожной станции отправляет хоппер-дозаторы только при наличии заявки на отправление, пересылочных и грузовых документов. 5. Курсирование по железнодорожным путям общего пользова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ния думпкаров производится в порядке, установленном владельцем инфраструктуры.</w:t>
      </w:r>
    </w:p>
    <w:p w14:paraId="210D7E24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Перед выдачей разрешения на курсирование по железнодорож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ным путям общего пользования думпкары должны быть осмотрены комиссией, состав которой определяется владельцем инфраструк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туры, которая проверяет годность их к эксплуатации на условиях, предусмотренных в заявке на курсирование думпкаров. О резуль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татах осмотра составляется акт, в котором отражается техническое состояние вагонов и заключение о пригодности их к обращению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>железнодорожных путях общего пользования. В состав комиссии должны быть включены представители организаций-владельцев думпкаров.</w:t>
      </w:r>
    </w:p>
    <w:p w14:paraId="7C32A789" w14:textId="77777777" w:rsid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Обращение на железнодорожных путях общего пользования производится: </w:t>
      </w:r>
    </w:p>
    <w:p w14:paraId="1DACDCE8" w14:textId="2891CB58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1) думпкаров 6ВС-60, 7ВС-60 и ВС-66 со скоростями, установлен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ными для грузовых поездов, полносоставными маршрутами и укруп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ненными группами с пополнением как в порожнем, так и в груженом состоянии любым железнодорожным подвижным составом в соот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ветствии с планом формирования; 2) думпкаров всех других типов со скоростями, установленными для соответствующих типов думпкаров, отдельными маршрутами весом не более 2600 т, с пополнением любым железнодорожным под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вижным составом в порожнем состоянии до установленной длины, а в груженом состоянии — до указанного веса.</w:t>
      </w:r>
    </w:p>
    <w:p w14:paraId="0BA3821B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Пополнение думпкарных маршрутов разрешается только таким железнодорожным подвижным составом, который не требует отцеп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ки на промежуточных железнодорожных станциях и не ограничивает скорости думпкарных маршрутов.</w:t>
      </w:r>
    </w:p>
    <w:p w14:paraId="1AC306C6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Маршруты из думпкаров и укрупненные группы думпкаров всех типов сопровождаются бригадой из машиниста и помощника маши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ниста, знающей устройство и эксплуатацию думпкаров, назначаемой предприятием и организацией владельца. </w:t>
      </w:r>
      <w:bookmarkStart w:id="8" w:name="_Hlk63176933"/>
      <w:r w:rsidRPr="00DA304C">
        <w:rPr>
          <w:rFonts w:ascii="Times New Roman" w:hAnsi="Times New Roman" w:cs="Times New Roman"/>
          <w:color w:val="000000"/>
          <w:sz w:val="28"/>
          <w:szCs w:val="28"/>
        </w:rPr>
        <w:t>Пересылка в поездах думп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каров, направляемых в ремонт, производится только в порожнем со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стоянии со скоростью не более 60 км/ч</w:t>
      </w:r>
      <w:bookmarkEnd w:id="8"/>
      <w:r w:rsidRPr="00DA304C">
        <w:rPr>
          <w:rFonts w:ascii="Times New Roman" w:hAnsi="Times New Roman" w:cs="Times New Roman"/>
          <w:color w:val="000000"/>
          <w:sz w:val="28"/>
          <w:szCs w:val="28"/>
        </w:rPr>
        <w:t>; пересылка из ремонта произ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водится со скоростями, установленными для грузовых поездов (для думпкаров ВС-100 и 2ВС-105 со скоростью не более 80 км/ч), при этом думпкары 6ВС-60, 7ВС-60 и ВС-66 могут ставиться в любой части по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езда, а все остальные — последними в хвосте грузового поезда.</w:t>
      </w:r>
    </w:p>
    <w:p w14:paraId="46E79FEA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Техническое обслуживание вагонов-думпкаров производится их владельцем в соответствии с нормами и правилами.</w:t>
      </w:r>
    </w:p>
    <w:p w14:paraId="5CFFF823" w14:textId="3E52384B" w:rsidR="00DA304C" w:rsidRDefault="00DA304C" w:rsidP="00DA304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Отцепку от маршрутов груженых думпкаров по технической и коммерческой неисправности оформляют в соответствии с Прави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лами перевозок железнодорожным транспортом грузов группами вагонов по одной накладной, утвержденными приказом Министер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ства путей сообщения Российской Федерации от 18.06.2003 №32 (зарегистрировано в Министерстве юстиции Российской 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Федерации 23.06.2003 №4815). В досылочных документах указывают особые от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метки, имеющиеся в основных грузовых документах, при этом обяза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тельно составляют уведомление на ремонт вагона формы ВУ-23.</w:t>
      </w:r>
    </w:p>
    <w:p w14:paraId="15FDD9CA" w14:textId="7B07A085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Курсирование по железнодорожным путям необщего пользова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ния думпкаров производится в порядке, установленном владельцем этих железнодорожных путей. Путевые машины тяжелого типа (путеукладочные, щебнеочи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стительные, снегоуборочные и другие), краны на железнодорожном ходу и другие единицы специального железнодорожного подвижного состава (передвижные электроустановки, машины для рытья котло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ванов, для погружения свайных фундаментов под опоры контактной сети и другие) отправляются с железнодорожных станций для сле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дования в нерабочем состоянии (в грузовых поездах или с отдельны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ми локомотивами) только по заявкам организаций-владельцев этого специального железнодорожного подвижного состава.</w:t>
      </w:r>
    </w:p>
    <w:p w14:paraId="4698E6CF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Подготовка специального железнодорожного подвижного соста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ва к следованию в нерабочем состоянии производится грузоотправи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телями в соответствии с требованиями, предусмотренными в техни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ческих условиях (инструкциях), разрабатываемых для соответствую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щего специального железнодорожного подвижного состава или в со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его паспортными данными. О приведении специального железнодорожного подвижного состава в транспортное положение отправителем должна быть сделана отметка в грузовых документах.</w:t>
      </w:r>
    </w:p>
    <w:p w14:paraId="72DB7787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Готовность специального железнодорожного подвижного соста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ва для следования в нерабочем состоянии проверяется комиссией, на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значаемой владельцем инфраструктуры или владельцем железнодо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рожных путей необщего пользования.</w:t>
      </w:r>
    </w:p>
    <w:p w14:paraId="68855832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Постановка специального железнодорожного подвижного со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става в составы грузовых поездов производится в соответствии с по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ложениями, предусмотренными в технических условиях (инструк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циях) или в паспортных данных, определяющих порядок эксплуата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ции соответствующего специального железнодорожного подвиж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ного состава.</w:t>
      </w:r>
    </w:p>
    <w:p w14:paraId="66921FDF" w14:textId="77777777" w:rsidR="00DB4221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Если в соответствии с техническими условиями (инструкциями) или паспортными данными специальный железнодорожный под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вижной состав должен следовать 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>со скоростью,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 менее установленной в графике движения для грузовых поездов, то в отметке о приведении специального железнодорожного подвижного состава в транспорт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ное положение отправитель должен указать эту скорость. </w:t>
      </w:r>
    </w:p>
    <w:p w14:paraId="1E38E607" w14:textId="3766DA45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Локомотивы, мотор-вагонный железнодорожный подвижной состав в недействующем состоянии отправляются по заявкам их владельцев, руководителей ремонтных предприятий после техниче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ского обслуживания и комиссионной проверки их технического состояния, что оформляется соответствующим актом. В акте, который предъявляется вместе с заявкой, указывается разрешаемая скорость следования локомотива, мотор-вагонного железнодорожного под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вижного состава. Второй экземпляр акта вручается проводнику ло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комотива, мотор-вагонного железнодорожного подвижного состава, третий экземпляр остается у отправителя.</w:t>
      </w:r>
    </w:p>
    <w:p w14:paraId="07DD65B3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63176790"/>
      <w:r w:rsidRPr="00DA304C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Электровозы и тепловозы, отправляемые в недействующем состо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янии</w:t>
      </w:r>
      <w:bookmarkEnd w:id="9"/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, ставятся в грузовом поезде </w:t>
      </w:r>
      <w:bookmarkStart w:id="10" w:name="_Hlk63176822"/>
      <w:r w:rsidRPr="00DA304C">
        <w:rPr>
          <w:rFonts w:ascii="Times New Roman" w:hAnsi="Times New Roman" w:cs="Times New Roman"/>
          <w:color w:val="000000"/>
          <w:sz w:val="28"/>
          <w:szCs w:val="28"/>
        </w:rPr>
        <w:t>вслед за ведущим локомотивом не более двух односекционных или одного трехсекционного или двух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секционного локомотива</w:t>
      </w:r>
      <w:bookmarkEnd w:id="10"/>
      <w:r w:rsidRPr="00DA30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3933E9F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Пересылка большего количества локомотивов разрешается вла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дельцем инфраструктуры или владельцем железнодорожных путей необщего пользования при условии отправления локомотивов с на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грузкой не более 8,1 т на погонный метр сплотками в количестве от 3 до 10 двухсекционных, 7 трехсекционных или 20 односекционных локомотивов (не считая ведущего локомотива), при этом ведущим ло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комотивом может быть один из локомотивов сплотки.</w:t>
      </w:r>
    </w:p>
    <w:p w14:paraId="52D63540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При пересылке в грузовых поездах дизель-поездов последние ста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вятся в хвосте грузового поезда.</w:t>
      </w:r>
    </w:p>
    <w:p w14:paraId="09593AC8" w14:textId="77777777" w:rsidR="001F214A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Паровозы с тендерами, отправляемые в холодном состоянии ста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вятся вслед за ведущим локомотивом в количестве, устанавливаемом владельцем инфраструктуры или владельцем железнодорожных пу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тей необщего пользования. Постановка холодного паровоза в голо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ве поезда при двойной тяге производится в зависимости от верхнего строения пути и искусственных сооружений и разрешается владель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цем инфраструктуры или владельцем железнодорожных путей не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общего пользования. Паровозы с четырех- и шестиосными тендера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 разрешается отправлять тендером вперед, паровозы с трехосными тендерами ставятся в поезд только трубой вперед. </w:t>
      </w:r>
    </w:p>
    <w:p w14:paraId="7EC5A9C5" w14:textId="14BA8DE0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Перемещение спецформирований производится по заявкам их начальников в порядке, устанавливаемом владельцем инфраструкту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ры или владельцем железнодорожных путей необщего пользования.</w:t>
      </w:r>
    </w:p>
    <w:p w14:paraId="10B3972F" w14:textId="77777777" w:rsidR="001F214A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В зависимости от характера спецформирования и типа железно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дорожного подвижного состава в приказе указываются условия пере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мещения, обеспечивающие безопасность движения поездов. </w:t>
      </w:r>
    </w:p>
    <w:p w14:paraId="66239592" w14:textId="3D321A0F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 Вагоны метрополитенов пересылаются сплотками, сформиро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ванными из вагонов метрополитена (до 12 вагонов) и 2 порожних гру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зовых вагонов прикрытия. Вагоны прикрытия прицепляются с обоих концов сплотки по одному на каждом конце. Эти вагоны со стороны сцепления с вагонами метрополитена оборудуются переходными сцеплениями, устанавливаемыми взамен типовых головок автосцепок.</w:t>
      </w:r>
    </w:p>
    <w:p w14:paraId="7E2DEB29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Для сопровождения вагонов метрополитена отправителем выде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ляются проводники, для проезда которых используется в летнее вре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мя один из вагонов метрополитена, а в зимнее время вагон-теплушка, для которого используется один из вагонов прикрытия.</w:t>
      </w:r>
    </w:p>
    <w:p w14:paraId="42A37E07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t>Для определения пригодности к следованию пересылаемые ваго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ны метрополитенов осматриваются комиссией, назначаемой отпра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вителем. В состав комиссии включается представитель пункта тех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нического обслуживания вагонов владельца инфраструктуры, вла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дельца железнодорожных путей необщего пользования. Комиссия составляет в трех экземплярах акт проверки технического состояния отправляемых вагонов по установленной форме. Первый экземпляр акта остается в организации, отправляющей вагоны, второй — вру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чается старшему группы проводников и третий — используется для заявки железнодорожной станции на отправление вагонов.</w:t>
      </w:r>
    </w:p>
    <w:p w14:paraId="1526AF62" w14:textId="77777777" w:rsidR="00DA304C" w:rsidRPr="00DA304C" w:rsidRDefault="00DA304C" w:rsidP="00DA3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04C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Транспортировка подготовленной сплотки производится отдель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ным локомотивом. Постановка вагонов метрополитена в состав поез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>да, а также пропуск их через сортировочные горки не допускается.</w:t>
      </w:r>
    </w:p>
    <w:p w14:paraId="73466318" w14:textId="0822F81B" w:rsidR="00DA304C" w:rsidRPr="00DA304C" w:rsidRDefault="00DA304C" w:rsidP="00DA30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63176587"/>
      <w:r w:rsidRPr="00DA304C">
        <w:rPr>
          <w:rFonts w:ascii="Times New Roman" w:hAnsi="Times New Roman" w:cs="Times New Roman"/>
          <w:color w:val="000000"/>
          <w:sz w:val="28"/>
          <w:szCs w:val="28"/>
        </w:rPr>
        <w:t>Пропуск вагонов метрополитена по железнодорожным путям производится в прямых и кривых радиусом более 300 м со скоростя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ми, установленными для грузовых поездов, но не свыше </w:t>
      </w:r>
      <w:bookmarkStart w:id="12" w:name="_Hlk63176650"/>
      <w:bookmarkEnd w:id="11"/>
      <w:r w:rsidRPr="00DA304C">
        <w:rPr>
          <w:rFonts w:ascii="Times New Roman" w:hAnsi="Times New Roman" w:cs="Times New Roman"/>
          <w:color w:val="000000"/>
          <w:sz w:val="28"/>
          <w:szCs w:val="28"/>
        </w:rPr>
        <w:t>75 км/ч</w:t>
      </w:r>
      <w:bookmarkEnd w:id="12"/>
      <w:r w:rsidRPr="00DA304C">
        <w:rPr>
          <w:rFonts w:ascii="Times New Roman" w:hAnsi="Times New Roman" w:cs="Times New Roman"/>
          <w:color w:val="000000"/>
          <w:sz w:val="28"/>
          <w:szCs w:val="28"/>
        </w:rPr>
        <w:t>. По кривым радиусом 300 м и менее скорость движения не должна превы</w:t>
      </w:r>
      <w:r w:rsidRPr="00DA304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шать: в кривых радиусом 60 м — 15 км/ч, радиусом 100 м — </w:t>
      </w:r>
      <w:bookmarkStart w:id="13" w:name="_Hlk63176631"/>
      <w:r w:rsidRPr="00DA304C">
        <w:rPr>
          <w:rFonts w:ascii="Times New Roman" w:hAnsi="Times New Roman" w:cs="Times New Roman"/>
          <w:color w:val="000000"/>
          <w:sz w:val="28"/>
          <w:szCs w:val="28"/>
        </w:rPr>
        <w:t>30 км/ч</w:t>
      </w:r>
      <w:bookmarkEnd w:id="13"/>
      <w:r w:rsidRPr="00DA304C">
        <w:rPr>
          <w:rFonts w:ascii="Times New Roman" w:hAnsi="Times New Roman" w:cs="Times New Roman"/>
          <w:color w:val="000000"/>
          <w:sz w:val="28"/>
          <w:szCs w:val="28"/>
        </w:rPr>
        <w:t xml:space="preserve">, радиусом 300 м — </w:t>
      </w:r>
      <w:bookmarkStart w:id="14" w:name="_Hlk63176606"/>
      <w:r w:rsidRPr="00DA304C">
        <w:rPr>
          <w:rFonts w:ascii="Times New Roman" w:hAnsi="Times New Roman" w:cs="Times New Roman"/>
          <w:color w:val="000000"/>
          <w:sz w:val="28"/>
          <w:szCs w:val="28"/>
        </w:rPr>
        <w:t>60 км/ч.</w:t>
      </w:r>
      <w:bookmarkEnd w:id="14"/>
    </w:p>
    <w:sectPr w:rsidR="00DA304C" w:rsidRPr="00DA304C" w:rsidSect="00DA30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B1"/>
    <w:rsid w:val="001F214A"/>
    <w:rsid w:val="008451B1"/>
    <w:rsid w:val="00DA304C"/>
    <w:rsid w:val="00DB4221"/>
    <w:rsid w:val="00F4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5C47"/>
  <w15:chartTrackingRefBased/>
  <w15:docId w15:val="{FC32FB29-0027-4EF6-A876-E4581955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Веня Веня</dc:creator>
  <cp:keywords/>
  <dc:description/>
  <cp:lastModifiedBy>Веня Веня</cp:lastModifiedBy>
  <cp:revision>3</cp:revision>
  <dcterms:created xsi:type="dcterms:W3CDTF">2021-02-02T11:32:00Z</dcterms:created>
  <dcterms:modified xsi:type="dcterms:W3CDTF">2021-02-02T12:53:00Z</dcterms:modified>
</cp:coreProperties>
</file>