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E4" w:rsidRPr="002E6AE4" w:rsidRDefault="002E6AE4" w:rsidP="00EA410F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N 6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к Инструкции по организации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поездов и маневровой работы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на железнодорожном транспорте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bookmarkStart w:id="0" w:name="102598"/>
      <w:bookmarkEnd w:id="0"/>
      <w:r w:rsidRPr="002E6A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ПОРЯДОК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E6A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ОРГАНИЗАЦИИ ДВИЖЕНИЯ ПОЕЗДОВ С РАЗГРАНИЧЕНИЕМ ВРЕМЕНЕМ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102599"/>
      <w:bookmarkEnd w:id="1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1. Движение поездов с разграничением временем (вслед) при резком увеличении размеров движения поездов осуществляется с разрешения владельца инфраструктуры (владельца железнодорожных путей необщего пользования).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102600"/>
      <w:bookmarkEnd w:id="2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Отправление поездов с разграничением временем применяется только на лимитирующих пропускную способность перегонах с планом и профилем железнодорожного пути, обеспечивающим видимость на расстоянии не менее тормозного пути, не оборудованных автоматической блокировкой, а также на перегонах, оборудованных автоматической блокировкой, в случаях повреждения устройств блокировки, после установления движения поездов по телефонным средствам связи.</w:t>
      </w:r>
      <w:proofErr w:type="gramEnd"/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102601"/>
      <w:bookmarkEnd w:id="3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3. Перечень перегонов, на которых разрешается отправлять поезда с разграничением временем, а та</w:t>
      </w:r>
      <w:bookmarkStart w:id="4" w:name="_GoBack"/>
      <w:bookmarkEnd w:id="4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кже максимальные скорости движения поездов, отправляемых вслед, и минимальные промежутки времени между отправляемыми поездами на таких перегонах устанавливаются локальным нормативным актом владельца инфраструктуры (владельца железнодорожных путей необщего пользования).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102602"/>
      <w:bookmarkEnd w:id="5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4. Порядок движения с разграничением временем в случаях подачи вагонов на железнодорожные пути необщего пользования, примыкающие на перегоне, а также при движении за отправленным поездом хозяйственных поездов с последующим их возвращением на железнодорожную станцию отправления устанавливается локальным нормативным актом владельца инфраструктуры (владельца железнодорожных путей необщего пользования).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102603"/>
      <w:bookmarkEnd w:id="6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5. Движение поездов с разграничением временем устанавливается распорядительным актом (далее - приказ) диспетчера поездного, передаваемым дежурным по железнодорожным станциям, ограничивающим соответствующий перегон.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102604"/>
      <w:bookmarkEnd w:id="7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При отправлении с разграничением временем машинист первого поезда должен следовать со скоростью, установленной на перегоне. Машинист второго поезда должен вести поезд со скоростью, установленной </w:t>
      </w:r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локальным нормативным актом владельца инфраструктуры (владельца железнодорожных путей необщего пользования) с особой бдительностью &lt;1&gt; и готовностью немедленно остановиться, если встретится препятствие для дальнейшего движения.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102605"/>
      <w:bookmarkStart w:id="9" w:name="102607"/>
      <w:bookmarkEnd w:id="8"/>
      <w:bookmarkEnd w:id="9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7. Запрещается отправление поездов с разграничением временем (вслед):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102608"/>
      <w:bookmarkEnd w:id="10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1) пассажирских, почтово-багажных, грузопассажирских и людских, а также поездов, имеющих в составе вагоны с опасными грузами класса 1 (ВМ) и цистерны со сжиженными газами. За этими поездами также не допускается отправление вслед попутных поездов;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102609"/>
      <w:bookmarkEnd w:id="11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2) при движении вагонами вперед;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102610"/>
      <w:bookmarkEnd w:id="12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3) если идущему впереди поезду предусмотрена остановка на перегоне;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102611"/>
      <w:bookmarkEnd w:id="13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4) во время тумана, метели, ливневых дождей, ухудшающих видимость сигналов.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102612"/>
      <w:bookmarkEnd w:id="14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8. Отправление поездов с разграничением временем на однопутных и на двухпутных перегонах производится только при телефонных средствах связи по правилам, установленным для однопутного движения, или по электрожезловой системе. Жезловые аппараты перегонов, где допускается движение поездов с разграничением временем, оборудуются развинчивающимися жезлами.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102613"/>
      <w:bookmarkEnd w:id="15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9. После получения приказа диспетчера поездного об установлении движения по телефонным средствам связи и об отправлении поездов с разграничением временем о движении этих поездов на однопутных и двухпутных перегонах передаются поездные телефонограммы следующего содержания: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102614"/>
      <w:bookmarkEnd w:id="16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"Могу ли отправить поезд N ... и вслед за ним через ... минут поезд N ..."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102615"/>
      <w:bookmarkEnd w:id="17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proofErr w:type="gramStart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Ожидаю</w:t>
      </w:r>
      <w:proofErr w:type="gramEnd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поезд N ... и вслед за ним через ... минут поезд N ...".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102616"/>
      <w:bookmarkEnd w:id="18"/>
      <w:proofErr w:type="gramStart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Уведомления об отправлении и прибытии каждого поезда передаются по образцам N 3 и N 4, приведенным в </w:t>
      </w:r>
      <w:hyperlink r:id="rId5" w:history="1">
        <w:r w:rsidRPr="002E6AE4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bdr w:val="none" w:sz="0" w:space="0" w:color="auto" w:frame="1"/>
          </w:rPr>
          <w:t>подпунктах 3</w:t>
        </w:r>
      </w:hyperlink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hyperlink r:id="rId6" w:history="1">
        <w:r w:rsidRPr="002E6AE4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bdr w:val="none" w:sz="0" w:space="0" w:color="auto" w:frame="1"/>
          </w:rPr>
          <w:t>4 пункта 20</w:t>
        </w:r>
      </w:hyperlink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приложения N 5 к Инструкции по организации движения поездов и маневровой работы на железнодорожном транспорте Российской Федерации, содержащейся в </w:t>
      </w:r>
      <w:hyperlink r:id="rId7" w:history="1">
        <w:r w:rsidRPr="002E6AE4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bdr w:val="none" w:sz="0" w:space="0" w:color="auto" w:frame="1"/>
          </w:rPr>
          <w:t>приложении N 2</w:t>
        </w:r>
      </w:hyperlink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 к Правилам технической эксплуатации железных дорог Российской Федерации, утвержденным настоящим Приказом (далее - Инструкция).</w:t>
      </w:r>
      <w:proofErr w:type="gramEnd"/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102617"/>
      <w:bookmarkEnd w:id="19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10. Если при телефонных средствах связи вслед за первым поездом отправляется поезд, который после работы на перегоне возвращается на железнодорожную станцию отправления, передаются телефонограммы следующего содержания: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102618"/>
      <w:bookmarkEnd w:id="20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"Могу ли отправить поезд N ... и вслед за ним через ... минут поезд N .... до ... </w:t>
      </w:r>
      <w:proofErr w:type="gramStart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км</w:t>
      </w:r>
      <w:proofErr w:type="gramEnd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возвращением обратно".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102619"/>
      <w:bookmarkEnd w:id="21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proofErr w:type="gramStart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Ожидаю</w:t>
      </w:r>
      <w:proofErr w:type="gramEnd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поезд N ... и вслед за ним через ... мин. можете отправить поезд N ... до ... км с возвращением обратно".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102620"/>
      <w:bookmarkEnd w:id="22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Об отправлении каждого поезда уведомления передаются в соответствии с </w:t>
      </w:r>
      <w:hyperlink r:id="rId8" w:history="1">
        <w:r w:rsidRPr="002E6AE4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bdr w:val="none" w:sz="0" w:space="0" w:color="auto" w:frame="1"/>
          </w:rPr>
          <w:t>подпунктом 3 пункта 20</w:t>
        </w:r>
      </w:hyperlink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приложения N 5 к Инструкции с добавлением в отношении отправляемого вслед поезда слов: "до ... </w:t>
      </w:r>
      <w:proofErr w:type="gramStart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км</w:t>
      </w:r>
      <w:proofErr w:type="gramEnd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возвращением обратно".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102621"/>
      <w:bookmarkEnd w:id="23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прибытии первого поезда передается телефонограмма в соответствии с </w:t>
      </w:r>
      <w:hyperlink r:id="rId9" w:history="1">
        <w:r w:rsidRPr="002E6AE4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bdr w:val="none" w:sz="0" w:space="0" w:color="auto" w:frame="1"/>
          </w:rPr>
          <w:t>подпунктом 4 пункта 20</w:t>
        </w:r>
      </w:hyperlink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приложения N 5 к Инструкции, а о возвращении второго поезда - в соответствии с </w:t>
      </w:r>
      <w:hyperlink r:id="rId10" w:history="1">
        <w:r w:rsidRPr="002E6AE4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bdr w:val="none" w:sz="0" w:space="0" w:color="auto" w:frame="1"/>
          </w:rPr>
          <w:t>подпунктом 3 пункта 21</w:t>
        </w:r>
      </w:hyperlink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приложения N 5 к Инструкции.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102622"/>
      <w:bookmarkEnd w:id="24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proofErr w:type="gramStart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Машинистам</w:t>
      </w:r>
      <w:proofErr w:type="gramEnd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первого, так и второго поезда выдаются </w:t>
      </w:r>
      <w:hyperlink r:id="rId11" w:history="1">
        <w:r w:rsidRPr="002E6AE4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bdr w:val="none" w:sz="0" w:space="0" w:color="auto" w:frame="1"/>
          </w:rPr>
          <w:t>бланки ДУ-50</w:t>
        </w:r>
      </w:hyperlink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, рекомендуемый образец которого приведен в </w:t>
      </w:r>
      <w:hyperlink r:id="rId12" w:history="1">
        <w:r w:rsidRPr="002E6AE4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bdr w:val="none" w:sz="0" w:space="0" w:color="auto" w:frame="1"/>
          </w:rPr>
          <w:t>приложении N 22</w:t>
        </w:r>
      </w:hyperlink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 к Инструкции, с отметкой наверху бланка: для первого поезда - "Вслед - первый поезд", для второго поезда - "Вслед - второй поезд".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102623"/>
      <w:bookmarkEnd w:id="25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таких отметок машинисты поездов следуют по перегону со скоростями, установленными в локальном нормативном акте владельца инфраструктуры (владельца железнодорожных путей необщего пользования).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102624"/>
      <w:bookmarkEnd w:id="26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proofErr w:type="gramStart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отправлении по приказу диспетчера поездного поезда с разграничением временем на перегонах, оборудованных электрожезловой системой, дежурный по железнодорожной станции отправления, получив на это согласие дежурного по железнодорожной станции приема и вынув из аппарата жезл, обязан передать часть жезла с надписью "Билет" машинисту первого отправляемого поезда, а машинисту поезда, идущего вслед, вторую часть жезла с надписью "Жезл".</w:t>
      </w:r>
      <w:proofErr w:type="gramEnd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отправлении первого и второго поезда дежурный по железнодорожной станции отправления уведомляет дежурного смежной железнодорожной станции приема.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102625"/>
      <w:bookmarkEnd w:id="27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отправление второго поезда не состоится, то действие жезловой системы </w:t>
      </w:r>
      <w:proofErr w:type="gramStart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прекращается</w:t>
      </w:r>
      <w:proofErr w:type="gramEnd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движение поездов устанавливается по телефонным средствам связи. В этом случае одна из частей жезла с первым отправляющимся поездом пересылается на смежную железнодорожную станцию, где свинчивается со второй частью, после чего же</w:t>
      </w:r>
      <w:proofErr w:type="gramStart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зл вкл</w:t>
      </w:r>
      <w:proofErr w:type="gramEnd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>адывается в аппарат и действие жезловой системы восстанавливается.</w:t>
      </w:r>
    </w:p>
    <w:p w:rsidR="002E6AE4" w:rsidRPr="002E6AE4" w:rsidRDefault="002E6AE4" w:rsidP="00EA410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102626"/>
      <w:bookmarkEnd w:id="28"/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При отправлении при электрожезловой системе поезда с разграничением временем, когда второй поезд возвращается с перегона на железнодорожную станцию отправления, первому поезду выдается жезл, а второму - ключ-жезл. Дежурный смежной железнодорожной станции </w:t>
      </w:r>
      <w:r w:rsidRPr="002E6A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уведомляется об отправлении первого и второго поезда, а также о возвращении второго поезда с перегона. Машинистам обоих поездов в этом случае выдаются предупреждения: первому поезду об отправлении вслед за ним второго поезда с возвращением с перегона, а второму - об отправлении с разграничением временем и о времени возвращения с перегона.</w:t>
      </w:r>
    </w:p>
    <w:p w:rsidR="00166193" w:rsidRPr="003804A1" w:rsidRDefault="00166193" w:rsidP="003804A1"/>
    <w:sectPr w:rsidR="00166193" w:rsidRPr="003804A1" w:rsidSect="00E7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65C3"/>
    <w:rsid w:val="000841BE"/>
    <w:rsid w:val="00166193"/>
    <w:rsid w:val="002965C3"/>
    <w:rsid w:val="002D3FF2"/>
    <w:rsid w:val="002E6AE4"/>
    <w:rsid w:val="003804A1"/>
    <w:rsid w:val="004D6E00"/>
    <w:rsid w:val="005A3B27"/>
    <w:rsid w:val="005F723B"/>
    <w:rsid w:val="006F4651"/>
    <w:rsid w:val="00720340"/>
    <w:rsid w:val="00771C42"/>
    <w:rsid w:val="007B1E58"/>
    <w:rsid w:val="007B241B"/>
    <w:rsid w:val="00846E73"/>
    <w:rsid w:val="0088298B"/>
    <w:rsid w:val="008E1ADB"/>
    <w:rsid w:val="00996003"/>
    <w:rsid w:val="009D00DF"/>
    <w:rsid w:val="00A54430"/>
    <w:rsid w:val="00A748B0"/>
    <w:rsid w:val="00AC5D47"/>
    <w:rsid w:val="00B24F0B"/>
    <w:rsid w:val="00C10D3A"/>
    <w:rsid w:val="00C877D2"/>
    <w:rsid w:val="00E77AE3"/>
    <w:rsid w:val="00E849AE"/>
    <w:rsid w:val="00EA410F"/>
    <w:rsid w:val="00ED5892"/>
    <w:rsid w:val="00EE2B7A"/>
    <w:rsid w:val="00FE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6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2965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748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A748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transa-rossii-ot-23062022-n-250/pravila-tekhnicheskoi-ekspluatatsii-zheleznykh-dorog/prilozhenie-n-2/prilozhenie-n-5/iii_3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dact.ru/law/prikaz-mintransa-rossii-ot-23062022-n-250/pravila-tekhnicheskoi-ekspluatatsii-zheleznykh-dorog/prilozhenie-n-2/" TargetMode="External"/><Relationship Id="rId12" Type="http://schemas.openxmlformats.org/officeDocument/2006/relationships/hyperlink" Target="https://sudact.ru/law/prikaz-mintransa-rossii-ot-23062022-n-250/pravila-tekhnicheskoi-ekspluatatsii-zheleznykh-dorog/prilozhenie-n-2/prilozhenie-n-2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transa-rossii-ot-23062022-n-250/pravila-tekhnicheskoi-ekspluatatsii-zheleznykh-dorog/prilozhenie-n-2/prilozhenie-n-5/iii_3/" TargetMode="External"/><Relationship Id="rId11" Type="http://schemas.openxmlformats.org/officeDocument/2006/relationships/hyperlink" Target="https://sudact.ru/law/prikaz-mintransa-rossii-ot-23062022-n-250/pravila-tekhnicheskoi-ekspluatatsii-zheleznykh-dorog/prilozhenie-n-2/prilozhenie-n-22/" TargetMode="External"/><Relationship Id="rId5" Type="http://schemas.openxmlformats.org/officeDocument/2006/relationships/hyperlink" Target="https://sudact.ru/law/prikaz-mintransa-rossii-ot-23062022-n-250/pravila-tekhnicheskoi-ekspluatatsii-zheleznykh-dorog/prilozhenie-n-2/prilozhenie-n-5/iii_3/" TargetMode="External"/><Relationship Id="rId10" Type="http://schemas.openxmlformats.org/officeDocument/2006/relationships/hyperlink" Target="https://sudact.ru/law/prikaz-mintransa-rossii-ot-23062022-n-250/pravila-tekhnicheskoi-ekspluatatsii-zheleznykh-dorog/prilozhenie-n-2/prilozhenie-n-5/iii_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transa-rossii-ot-23062022-n-250/pravila-tekhnicheskoi-ekspluatatsii-zheleznykh-dorog/prilozhenie-n-2/prilozhenie-n-5/iii_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23</cp:revision>
  <dcterms:created xsi:type="dcterms:W3CDTF">2020-11-12T11:48:00Z</dcterms:created>
  <dcterms:modified xsi:type="dcterms:W3CDTF">2025-11-14T05:38:00Z</dcterms:modified>
</cp:coreProperties>
</file>