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2D61" w14:textId="565E53B6" w:rsidR="00962BC9" w:rsidRPr="00962BC9" w:rsidRDefault="00962BC9" w:rsidP="00962BC9">
      <w:pPr>
        <w:pStyle w:val="ConsPlusTitle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962BC9">
        <w:rPr>
          <w:rFonts w:ascii="Times New Roman" w:hAnsi="Times New Roman" w:cs="Times New Roman"/>
          <w:b w:val="0"/>
          <w:sz w:val="28"/>
          <w:szCs w:val="28"/>
        </w:rPr>
        <w:t xml:space="preserve">Выписка из </w:t>
      </w:r>
      <w:r w:rsidRPr="00962BC9">
        <w:rPr>
          <w:rFonts w:ascii="Times New Roman" w:hAnsi="Times New Roman" w:cs="Times New Roman"/>
          <w:b w:val="0"/>
          <w:sz w:val="28"/>
          <w:szCs w:val="28"/>
        </w:rPr>
        <w:t>ПРАВИЛ ТЕХНИЧЕСКОЙ ЭКСПЛУАТАЦИИ ЖЕЛЕЗНЫХ ДОРОГ</w:t>
      </w:r>
      <w:r w:rsidRPr="00962B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62BC9">
        <w:rPr>
          <w:rFonts w:ascii="Times New Roman" w:hAnsi="Times New Roman" w:cs="Times New Roman"/>
          <w:b w:val="0"/>
        </w:rPr>
        <w:t>РОССИЙСКОЙ ФЕДЕРАЦИИ</w:t>
      </w:r>
      <w:r w:rsidRPr="00962BC9">
        <w:rPr>
          <w:rFonts w:ascii="Times New Roman" w:hAnsi="Times New Roman" w:cs="Times New Roman"/>
          <w:b w:val="0"/>
          <w:sz w:val="28"/>
          <w:szCs w:val="28"/>
        </w:rPr>
        <w:t xml:space="preserve"> (Зарегистрированы в Министерстве юстиции России от 20.07.2022г. Регистрационный N 69324)</w:t>
      </w:r>
      <w:r w:rsidRPr="00962BC9">
        <w:rPr>
          <w:rFonts w:ascii="Times New Roman" w:hAnsi="Times New Roman" w:cs="Times New Roman"/>
          <w:b w:val="0"/>
          <w:color w:val="392C69"/>
        </w:rPr>
        <w:t xml:space="preserve"> </w:t>
      </w:r>
      <w:r w:rsidRPr="00962BC9">
        <w:rPr>
          <w:rFonts w:ascii="Times New Roman" w:hAnsi="Times New Roman" w:cs="Times New Roman"/>
          <w:b w:val="0"/>
          <w:sz w:val="28"/>
          <w:szCs w:val="28"/>
        </w:rPr>
        <w:t xml:space="preserve">(в ред. </w:t>
      </w:r>
      <w:proofErr w:type="gramStart"/>
      <w:r w:rsidRPr="00962BC9">
        <w:rPr>
          <w:rFonts w:ascii="Times New Roman" w:hAnsi="Times New Roman" w:cs="Times New Roman"/>
          <w:b w:val="0"/>
          <w:sz w:val="28"/>
          <w:szCs w:val="28"/>
        </w:rPr>
        <w:t>Приказа  Минтранса</w:t>
      </w:r>
      <w:proofErr w:type="gramEnd"/>
      <w:r w:rsidRPr="00962BC9">
        <w:rPr>
          <w:rFonts w:ascii="Times New Roman" w:hAnsi="Times New Roman" w:cs="Times New Roman"/>
          <w:b w:val="0"/>
          <w:sz w:val="28"/>
          <w:szCs w:val="28"/>
        </w:rPr>
        <w:t xml:space="preserve"> России от 23.06.2022 N 250)</w:t>
      </w:r>
    </w:p>
    <w:p w14:paraId="499BA1CD" w14:textId="77777777" w:rsidR="00962BC9" w:rsidRDefault="00962BC9" w:rsidP="00340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19042C5" w14:textId="77777777" w:rsidR="00962BC9" w:rsidRDefault="00962BC9" w:rsidP="00340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336B268" w14:textId="729B0EB6" w:rsidR="0034080A" w:rsidRPr="00860AFA" w:rsidRDefault="0034080A" w:rsidP="00340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0AFA">
        <w:rPr>
          <w:rFonts w:ascii="Times New Roman" w:hAnsi="Times New Roman" w:cs="Times New Roman"/>
          <w:sz w:val="28"/>
          <w:szCs w:val="28"/>
        </w:rPr>
        <w:t>ТЕХНИЧЕСКАЯ ЭКСПЛУАТАЦИЯ</w:t>
      </w:r>
    </w:p>
    <w:p w14:paraId="0466FCDA" w14:textId="77777777" w:rsidR="0034080A" w:rsidRPr="00860AFA" w:rsidRDefault="0034080A" w:rsidP="003408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0AFA">
        <w:rPr>
          <w:rFonts w:ascii="Times New Roman" w:hAnsi="Times New Roman" w:cs="Times New Roman"/>
          <w:sz w:val="28"/>
          <w:szCs w:val="28"/>
        </w:rPr>
        <w:t>ЖЕЛЕЗНОДОРОЖНОГО ПОДВИЖНОГО СОСТАВА</w:t>
      </w:r>
    </w:p>
    <w:p w14:paraId="7DFEEC17" w14:textId="77777777" w:rsidR="0034080A" w:rsidRDefault="0034080A" w:rsidP="0034080A">
      <w:pPr>
        <w:pStyle w:val="ConsPlusNormal"/>
      </w:pPr>
    </w:p>
    <w:p w14:paraId="37B437B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129. Эксплуатируемый на железнодорожном транспорте железнодорожный подвижной состав должен проходить планово-предупредительные виды ремонта, техническое обслуживание и содержаться в эксплуатации в исправном техническом состоянии, обеспечивающем безопасность движения и эксплуатации железнодорожного транспорта, соответствовать требованиям по охране труда, экологической и пожарной безопасности, санитарно-эпидемиологическим правилам и нормативам в сроки, установленные ремонтной и эксплуатационной документацией.</w:t>
      </w:r>
    </w:p>
    <w:p w14:paraId="17C9A5E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130. На инфраструктуре и железнодорожных путях необщего пользования запрещается эксплуатация железнодорожного подвижного состава и его составных частей:</w:t>
      </w:r>
    </w:p>
    <w:p w14:paraId="2DEF04A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 истекшим назначенным сроком службы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hyperlink r:id="rId4" w:anchor="block_146" w:history="1">
        <w:r w:rsidRPr="00860AFA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146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(ресурсом) железнодорожного подвижного состава, за исключением железнодорожного подвижного состава, эксплуатируемого на железнодорожных путях необщего пользования без выхода на железнодорожные пути общего пользования;</w:t>
      </w:r>
    </w:p>
    <w:p w14:paraId="45937F05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имеющих неисправности, угрожающие безопасности движения железнодорожного транспорта в соответствии с Правилами;</w:t>
      </w:r>
    </w:p>
    <w:p w14:paraId="467CCDA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 соответствующих требованиям эксплуатационной документации и Правилам;</w:t>
      </w:r>
    </w:p>
    <w:p w14:paraId="3CEACD5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не прошедших пономерной учет и не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учтеных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соответствующих автоматизированных базах данных;</w:t>
      </w:r>
    </w:p>
    <w:p w14:paraId="16D499F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 нечитаемыми, неразличимыми или отсутствующими маркировкой, идентификационными номерами или приемочными клеймами, когда наличие таких маркировки, идентификации или нанесения приемочного клейма обязательны.</w:t>
      </w:r>
    </w:p>
    <w:p w14:paraId="752348E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Запрещается установка на железнодорожный подвижной состав деталей и узлов, назначенный срок службы (ресурс) которых истек (при его наличии).</w:t>
      </w:r>
    </w:p>
    <w:p w14:paraId="65B0E49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Внесение изменений в конструкцию железнодорожного подвижного состава, эксплуатируемого на инфраструктуре, железнодорожных путях необщего пользования, влияющих на его эксплуатационные характеристики, допускается в соответствии с законодательством Российской Федерации и Евразийского экономического союза.</w:t>
      </w:r>
    </w:p>
    <w:p w14:paraId="4E3F507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за содержание в исправном техническом состоянии железнодорожного подвижного состава, соблюдение периодичности выполнения планово-предупредительных ремонтов, за соблюдение 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назначенного срока службы (ресурса) железнодорожного подвижного состава являются владельцы железнодорожного подвижного состава.</w:t>
      </w:r>
    </w:p>
    <w:p w14:paraId="6DFE177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Владелец инфраструктуры (владелец железнодорожных путей необщего пользования) осуществляет контроль соблюдения указанных требований при эксплуатации железнодорожного подвижного состава и его составных частей.</w:t>
      </w:r>
    </w:p>
    <w:p w14:paraId="47D6A88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131. Запрещается включать в поезда на инфраструктуре, железнодорожных путях необщего пользования железнодорожный подвижной состав, имевший сход с рельсов, до его осмотра и признания годным для движения.</w:t>
      </w:r>
    </w:p>
    <w:p w14:paraId="110B8EA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Для движения железнодорожного подвижного состава, имевшего сход с рельсов, производится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его комиссионный осмотр</w:t>
      </w:r>
      <w:proofErr w:type="gram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которого определяется возможность включения такого железнодорожного подвижного состава в поезд. При необходимости включения таких вагонов в поезда, следующие по инфраструктуре, состав комиссии утверждает владелец инфраструктуры с участием представителя владельца железнодорожного подвижного состава, а при включении в поезда, следующие по железнодорожным путям необщего пользования, состав комиссии утверждает владелец железнодорожных путей необщего пользования с участием представителя владельца железнодорожного подвижного состава.</w:t>
      </w:r>
    </w:p>
    <w:p w14:paraId="036D113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Порядок передислокации железнодорожного подвижного состава, имевшего сход с рельсов, определяется локальным нормативным актом владельца инфраструктуры (владельца железнодорожных путей необщего пользования) и должен предусматривать меры, гарантирующие безопасность движения такого состава.</w:t>
      </w:r>
    </w:p>
    <w:p w14:paraId="0A3AFFD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132. На инфраструктуре допускается эксплуатация железнодорожного подвижного состава, представляющего историческую ценность, выпуск которого прекращен, а назначенный срок службы - истек или не был установлен при изготовлении (далее - исторический железнодорожный подвижной состава).</w:t>
      </w:r>
    </w:p>
    <w:p w14:paraId="1475BB2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Для подтверждения возможности эксплуатации исторического железнодорожного подвижного состава необходимо:</w:t>
      </w:r>
    </w:p>
    <w:p w14:paraId="039A0ED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провести техническое диагностирование с целью определения его остаточного ресурса до перехода в предельное состояние;</w:t>
      </w:r>
    </w:p>
    <w:p w14:paraId="48389DC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выполнить ремонт для восстановления технических характеристик до нормативных значений в соответствии с ремонтной документацией и Правилами.</w:t>
      </w:r>
    </w:p>
    <w:p w14:paraId="3F0AD52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Владелец инфраструктуры на основании данных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пономерного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учета должен вести учет исторического железнодорожного подвижного состава, эксплуатируемого на инфраструктуре. Эксплуатация исторического железнодорожного подвижного состава допускается при одновременном выполнении следующих условий:</w:t>
      </w:r>
    </w:p>
    <w:p w14:paraId="1DA039E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1) подтверждения исправного технического состояния, обеспечивающего безопасность движения и эксплуатации железнодорожного 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транспорта, выполнение требований по охране труда и пожарной безопасности;</w:t>
      </w:r>
    </w:p>
    <w:p w14:paraId="26D9E24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2) оборудования тягового исторического подвижного состава средствами радиосвязи, совместимыми со средствами радиосвязи инфраструктуры на участках обращения;</w:t>
      </w:r>
    </w:p>
    <w:p w14:paraId="0FCAA0B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3) наличия идентификационного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6B83C3D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Порядок допуска к эксплуатации на инфраструктуре, включения в перечень исторического железнодорожного подвижного состава и подтверждения его исправного технического состояния определяется локальным нормативным актом владельца инфраструктуры.</w:t>
      </w:r>
    </w:p>
    <w:p w14:paraId="38FE41D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Эксплуатация исторического железнодорожного подвижного состава на инфраструктуре допускается в исторических поездах или для участия в исторических мероприятиях.</w:t>
      </w:r>
    </w:p>
    <w:p w14:paraId="0D30AA7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133. На каждую единицу железнодорожного подвижного состава ведется паспорт (технический паспорт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) или формуляр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 в бумажном и (или) электронном виде, содержащий сведения о его вводе в эксплуатацию, отметку о приемке, в том числе по результатам инспекторского контроля (при его проведении), типах оборудования, модернизации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и проведенных плановых ремонтах, о комплектации номерными составными частями в случае, если наличие данной информации предусмотрено в паспорте (техническом паспорте) или формуляре (при наличии).</w:t>
      </w:r>
    </w:p>
    <w:p w14:paraId="1F07D35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134. Ремонт, в том числе проводимый в рамках сервисного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железнодорожного подвижного состава выполняется на предприятиях, имеющих условный номер клеймения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, полученный на соответствующий вид работ. Данное требование не распространяется на ремонт тягового железнодорожного подвижного состава, обращающегося на железнодорожных путях необщего пользования без права выхода на инфраструктуру.</w:t>
      </w:r>
    </w:p>
    <w:p w14:paraId="0A43C17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Ремонт составных частей железнодорожного подвижного состава, входящих в перечень составных частей, подлежащих клеймению, выполняется на предприятиях, имеющих условный номер клеймения, полученный на соответствующие виды работ.</w:t>
      </w:r>
    </w:p>
    <w:p w14:paraId="6460EA2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На каждую единицу вновь изготовленного, модернизированного или прошедшего ремонт железнодорожного подвижного состава предприятием, выполнившим данные виды работ, оформляется документ, подтверждающий его приемку:</w:t>
      </w:r>
    </w:p>
    <w:p w14:paraId="7504062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уведомление о приемке </w:t>
      </w:r>
      <w:hyperlink r:id="rId5" w:anchor="/multilink/405042985/paragraph/532/number/0:0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формы ВУ-36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- для вновь изготовленного и модернизированного железнодорожного подвижного состава, а также для грузовых вагонов, прошедших ремонт;</w:t>
      </w:r>
    </w:p>
    <w:p w14:paraId="366BF4A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приемку пассажирских вагонов, локомотивов, мотор-вагонного и специального подвижного состава, прошедших ремонт, устанавливаются локальным нормативным актом владельца инфраструктуры (владельца железнодорожных путей необщего пользования).</w:t>
      </w:r>
    </w:p>
    <w:p w14:paraId="6695B4C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Предприятие, оформившее документ, подтверждающий приемку, подтверждает соответствие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железнодорожного подвижного состава при выпуске его в эксплуатацию:</w:t>
      </w:r>
    </w:p>
    <w:p w14:paraId="18446D9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требованиям конструкторской документации - вновь изготовленного или модернизированного железнодорожного подвижного состава;</w:t>
      </w:r>
    </w:p>
    <w:p w14:paraId="142DF28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требованиям ремонтной или эксплуатационной документации (в части требований к ремонту) - прошедшего ремонт железнодорожного подвижного состава.</w:t>
      </w:r>
    </w:p>
    <w:p w14:paraId="41BE24B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Ответственными за качество выполненного технического обслуживания и ремонта железнодорожного подвижного состава, его составных частей являются предприятия, непосредственно их осуществляющие.</w:t>
      </w:r>
    </w:p>
    <w:p w14:paraId="3693947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Предприятие, осуществляющее изготовление, модернизацию или ремонт составных частей железнодорожного подвижного состава является ответственным за их соответствие конструкторской (при изготовлении и модернизации) или ремонтной документации (при выполнении ремонта) при выпуске железнодорожного подвижного состава в эксплуатацию.</w:t>
      </w:r>
    </w:p>
    <w:p w14:paraId="56B3691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135. Ответственным за допуск к эксплуатации на инфраструктуре (железнодорожных путях необщего пользования) вновь изготовленного, модернизированного, прошедшего плановый ремонт (в соответствии с ремонтной или эксплуатационной документацией) железнодорожного подвижного состава является владелец инфраструктуры (владелец железнодорожных путей необщего пользования).</w:t>
      </w:r>
    </w:p>
    <w:p w14:paraId="3BD3FC6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Допуск к эксплуатации на инфраструктуре, железнодорожных путях необщего пользования железнодорожного подвижного состава осуществляется при наличии документов об обязательном подтверждении соответствия (для вновь изготовленного железнодорожного подвижного состава в случаях, предусмотренных законодательством Российской Федерации и правом Евразийского экономического союза), документа, подтверждающего его приемку, и в случае, если в паспорт (технический паспорт) или формуляр (при наличии) должны быть внесены сведения, указанные в </w:t>
      </w:r>
      <w:hyperlink r:id="rId6" w:anchor="block_1133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пункте 133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Правил.</w:t>
      </w:r>
    </w:p>
    <w:p w14:paraId="4E872C8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Допуск железнодорожного подвижного состава к эксплуатации на инфраструктуре, железнодорожных путях необщего пользования осуществляется после его осмотра, в ходе которого проводится:</w:t>
      </w:r>
    </w:p>
    <w:p w14:paraId="32C4DFF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сверка технических и эксплуатационных характеристик железнодорожного подвижного состава с указанными в паспорте (техническом паспорте) или формуляре (при наличии);</w:t>
      </w:r>
    </w:p>
    <w:p w14:paraId="45D19A5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сверка идентификационных номеров составных частей, определенных данными информационных систем учета железнодорожного подвижного состава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с их фактическим наличием на железнодорожном подвижном составе.</w:t>
      </w:r>
    </w:p>
    <w:p w14:paraId="1519F21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осмотра оформляется акт допуска железнодорожного подвижного состава к эксплуатации на железнодорожных путях общего 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пользования после изготовления, модернизации, ремонта (далее - Акт допуска) (рекомендуемый образец приведен в </w:t>
      </w:r>
      <w:hyperlink r:id="rId7" w:anchor="block_13000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приложении N 4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к Правилам).</w:t>
      </w:r>
    </w:p>
    <w:p w14:paraId="1F6A107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При выявлении несоответствия (несоответствий) требованиям, установленным настоящим пунктом, владелец инфраструктуры указывает их в Акте допуска.</w:t>
      </w:r>
    </w:p>
    <w:p w14:paraId="4306551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После устранения несоответствия (несоответствий) железнодорожный подвижной состав повторно предъявляется к осмотру для допуска к эксплуатации на инфраструктуре.</w:t>
      </w:r>
    </w:p>
    <w:p w14:paraId="64FBEFA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Владелец инфраструктуры локальным нормативным актом определяет порядок организации допуска железнодорожного подвижного состава к эксплуатации на инфраструктуре, который содержит в себе требования к месту допуска и его оснащению.</w:t>
      </w:r>
    </w:p>
    <w:p w14:paraId="3024F93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Владелец железнодорожных путей необщего пользования локальным нормативным актом определяет порядок организации допуска железнодорожного подвижного состава на железнодорожные пути необщего пользования, который содержит в себе требования к месту допуска и его оснащению.</w:t>
      </w:r>
    </w:p>
    <w:p w14:paraId="157A556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136. Каждая единица железнодорожного подвижного состава при эксплуатации на инфраструктуре, железнодорожных путях необщего пользования должна иметь маркировку, нанесенную в соответствии с </w:t>
      </w:r>
      <w:hyperlink r:id="rId8" w:anchor="block_1000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техническим регламентом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Таможенного союза "О безопасности железнодорожного подвижного состава".</w:t>
      </w:r>
    </w:p>
    <w:p w14:paraId="112B2BC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Для железнодорожного подвижного состава и его составных частей, выпущенных в обращение после 2 августа 2017 г., стран участников Евразийского экономического союза, также следующие отличительные знаки и надписи:</w:t>
      </w:r>
    </w:p>
    <w:p w14:paraId="403A751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технический знак (цифровой код) принадлежности к железнодорожной администрации;</w:t>
      </w:r>
    </w:p>
    <w:p w14:paraId="1DA9BA8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оператор железнодорожного подвижного состава или иной владелец железнодорожного подвижного состава;</w:t>
      </w:r>
    </w:p>
    <w:p w14:paraId="1364E2F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номер, табличка с указанием завода-изготовителя, дата и место постройки;</w:t>
      </w:r>
    </w:p>
    <w:p w14:paraId="20632FF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идентификационные номера и приемочные клейма на составных частях в случаях и в местах, установленных конструкторской документацией;</w:t>
      </w:r>
    </w:p>
    <w:p w14:paraId="1833C63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дата и место производства видов ремонта, установленных ремонтной и эксплуатационной документацией;</w:t>
      </w:r>
    </w:p>
    <w:p w14:paraId="1548CBC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масса тары (кроме локомотивов и специального самоходного подвижного состава).</w:t>
      </w:r>
    </w:p>
    <w:p w14:paraId="24BE854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Кроме того, должны быть нанесены следующие надписи:</w:t>
      </w:r>
    </w:p>
    <w:p w14:paraId="3C0BFBE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конструкционная скорость, серия и бортовой номер, наименование места приписки, таблички и надписи об освидетельствовании резервуаров, контрольных приборов и котла - на локомотивах, мотор-вагонном и специальном самоходном подвижном составе;</w:t>
      </w:r>
    </w:p>
    <w:p w14:paraId="32CB206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число мест - на пассажирских вагонах, мотор-вагонном и специальном железнодорожном подвижном составе, на котором предусматривается доставка работников к месту производства работ и обратно;</w:t>
      </w:r>
    </w:p>
    <w:p w14:paraId="35A73A0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грузоподъемность - на грузовых, почтовых, багажных вагонах.</w:t>
      </w:r>
    </w:p>
    <w:p w14:paraId="6B6A0F3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серия, номер, наименование юридического лица, физического лица (фамилия, имя, отчество (при наличии) - на тендерах паровозов.</w:t>
      </w:r>
    </w:p>
    <w:p w14:paraId="5ED751D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На раму вагона, предназначенного для установки железнодорожных сменных кузовов, наносятся данные о массе тары грузового вагона с массой сменного железнодорожного кузова (кузовов).</w:t>
      </w:r>
    </w:p>
    <w:p w14:paraId="056B148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Каждый железнодорожный кузов должен иметь следующие отличительные знаки и надписи:</w:t>
      </w:r>
    </w:p>
    <w:p w14:paraId="7800133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(товарный знак)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изготовителя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35EE862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дату выпуска;</w:t>
      </w:r>
    </w:p>
    <w:p w14:paraId="1A9CE67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вагона;</w:t>
      </w:r>
    </w:p>
    <w:p w14:paraId="1042902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грузоподъемность вагона.</w:t>
      </w:r>
    </w:p>
    <w:p w14:paraId="64A17DC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Необходимость нанесения других знаков и надписей на железнодорожный подвижной состав, не препятствующих видимости знаков и надписей, указанных в настоящем пункте, определяется локальным нормативным актом владельца железнодорожного подвижного состава.</w:t>
      </w:r>
    </w:p>
    <w:p w14:paraId="226382C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Каждый крупнотоннажный контейнер должен соответствовать требованиям </w:t>
      </w:r>
      <w:hyperlink r:id="rId9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Международной конвенции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по безопасным контейнерам от 2 декабря 1972 г.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, Таможенной конвенции, касающейся контейнеров от 2 декабря 1972 г.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9BEDD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Эксплуатация железнодорожного подвижного состава без табличек завода-изготовителя допускается при условии нанесения на него трафарета с обозначением кода (наименования) завода-изготовителя и даты постройки единицы железнодорожного подвижного состава, и наличия данной информации в его паспорте (техническом паспорте) или формуляре (при наличии).</w:t>
      </w:r>
    </w:p>
    <w:p w14:paraId="1EFF649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137. Порядок проследования опытных образцов подвижного состава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к месту проведения испытаний или выставочных мероприятий и обратно устанавливается локальным нормативным актом владельца инфраструктуры.</w:t>
      </w:r>
    </w:p>
    <w:p w14:paraId="46C38DE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Порядок передислокации по инфраструктуре железнодорожного подвижного состава, отцепленного в пути следования по причине технической неисправности, к ближайшему месту проведения ремонта и железнодорожного подвижного состава на промывочно-пропарочные станции с обеспечением мер, гарантирующих безопасность движения и эксплуатации железнодорожного транспорта, устанавливается локальным нормативным актом владельца инфраструктуры.</w:t>
      </w:r>
    </w:p>
    <w:p w14:paraId="57280A4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138. На инфраструктуре и железнодорожных путях необщего пользования запрещается эксплуатировать железнодорожный подвижной состав со следующими отсутствующими или неисправными устройствами:</w:t>
      </w:r>
    </w:p>
    <w:p w14:paraId="361FD99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специальными подножками, поручнями или приспособлениями, предусмотренными конструкцией локомотива для безопасности 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обслуживающего персонала при эксплуатации, осмотре, техническом обслуживании или ремонте;</w:t>
      </w:r>
    </w:p>
    <w:p w14:paraId="7EEBDA8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предусмотренными конструкцией локомотива ограждениями вращающихся частей дизеля, электрических машин, вентиляторов, компрессоров.</w:t>
      </w:r>
    </w:p>
    <w:p w14:paraId="392BA1B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139. На инфраструктуре, железнодорожных путях необщего пользования запрещается включать в состав поезда (кроме случаев перевозки железнодорожного подвижного состава в качестве груза на своих осях и пересылки локомотивов в недействующем состоянии) и эксплуатировать для выполнения маневровой работы локомотивы, мотор-вагонный и специальный самоходный подвижной состав (если конструкторской документацией предусмотрено наличие перечисленных устройств), имеющие:</w:t>
      </w:r>
    </w:p>
    <w:p w14:paraId="59E7011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1) неисправность средств поездной и станционной радиосвязи или их несовместимости с сетями радиосвязи на участках обращения соответствующего железнодорожного подвижного состава;</w:t>
      </w:r>
    </w:p>
    <w:p w14:paraId="0E2241A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2) неисправность устройств автоматической локомотивной сигнализации;</w:t>
      </w:r>
    </w:p>
    <w:p w14:paraId="533E4DA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3) неисправность локомотивных устройств безопасности, обеспечивающих контроль установленных скоростей движения, соответствия скорости сигналам автоматической локомотивной сигнализации, периодическую проверку бдительности (бодрствования) машиниста, управление электропневматическим клапаном автостопа ЭПК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для включения экстренного торможения поезда (далее - локомотивные устройства безопасности);</w:t>
      </w:r>
    </w:p>
    <w:p w14:paraId="18360EA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4) неисправность приборов для подачи звукового сигнала;</w:t>
      </w:r>
    </w:p>
    <w:p w14:paraId="6CDC263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5) неработающих устройств для очистки лобовых стекол кабины машиниста;</w:t>
      </w:r>
    </w:p>
    <w:p w14:paraId="54B2926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6) неисправность систем жизнеобеспечения (системы обеспечения микроклиматом и санитарного узла);</w:t>
      </w:r>
    </w:p>
    <w:p w14:paraId="61A82B0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7) неисправность пневматического, электропневматического, электрического, ручного или автоматического стояночного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тормозов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или компрессора;</w:t>
      </w:r>
    </w:p>
    <w:p w14:paraId="0B88683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8) неисправность привода передвижения;</w:t>
      </w:r>
    </w:p>
    <w:p w14:paraId="0B11EAC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9) неисправность вентилятора выпрямительной установки, неисправность вентилятора холодильника дизеля, неисправность тягового преобразователя электрической энергии, выпрямительной установки;</w:t>
      </w:r>
    </w:p>
    <w:p w14:paraId="4969B3D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10) неисправность радиоэлектронных средств передачи данных при наличии системы управления движением и контроля, использующей радиоканал в качестве среды передачи данных;</w:t>
      </w:r>
    </w:p>
    <w:p w14:paraId="7725BC4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11) неисправность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сцепных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gramEnd"/>
      <w:r w:rsidRPr="00860AFA">
        <w:rPr>
          <w:rFonts w:ascii="Times New Roman" w:eastAsia="Times New Roman" w:hAnsi="Times New Roman" w:cs="Times New Roman"/>
          <w:sz w:val="28"/>
          <w:szCs w:val="28"/>
        </w:rPr>
        <w:t>автосцепных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) устройств, в том числе при обрыве цепочки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расцепного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рычага или его деформации;</w:t>
      </w:r>
    </w:p>
    <w:p w14:paraId="7DB533A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12) неисправность прожектора, буферного фонаря, освещения, контрольного или измерительного прибора;</w:t>
      </w:r>
    </w:p>
    <w:p w14:paraId="2B8B86A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13) трещину в хомуте, рессорной подвеске или коренном листе рессоры, излом рессорного листа;</w:t>
      </w:r>
    </w:p>
    <w:p w14:paraId="22BA822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14) неисправность буксового или моторно-осевого подшипника;</w:t>
      </w:r>
    </w:p>
    <w:p w14:paraId="6820BE5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15) трещину или излом хотя бы одного зуба тяговой зубчатой передачи;</w:t>
      </w:r>
    </w:p>
    <w:p w14:paraId="4B328F6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16) неисправность кожуха зубчатой передачи, вызывающую вытекание смазки;</w:t>
      </w:r>
    </w:p>
    <w:p w14:paraId="6DB3678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17) неисправность защитной блокировки высоковольтной камеры;</w:t>
      </w:r>
    </w:p>
    <w:p w14:paraId="1697D0C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18) неисправность токоприемника;</w:t>
      </w:r>
    </w:p>
    <w:p w14:paraId="5932472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19) неисправность средств пожаротушения и пожарной сигнализации;</w:t>
      </w:r>
    </w:p>
    <w:p w14:paraId="78E1691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20) неисправность устройств защиты от токов короткого замыкания, перегрузки и перенапряжения, аварийной остановки дизеля;</w:t>
      </w:r>
    </w:p>
    <w:p w14:paraId="7A8A0FE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21) посторонний шум (стук) в дизеле;</w:t>
      </w:r>
    </w:p>
    <w:p w14:paraId="1D908B0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22) неисправность питательного прибора, предохранительного клапана, водоуказательного прибора, течь контрольной пробки огневой коробки котла паровоза;</w:t>
      </w:r>
    </w:p>
    <w:p w14:paraId="4D314B8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23) отсутствие защитных кожухов электрооборудования;</w:t>
      </w:r>
    </w:p>
    <w:p w14:paraId="772A58C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24) неисправность гидродемпферов;</w:t>
      </w:r>
    </w:p>
    <w:p w14:paraId="2E9D6825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25) неисправность аккумуляторной батареи;</w:t>
      </w:r>
    </w:p>
    <w:p w14:paraId="67B12BC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26) неисправность системы регистрации и анализа параметров работы подвижного состава;</w:t>
      </w:r>
    </w:p>
    <w:p w14:paraId="12E9776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27) неисправность системы определения географической координаты местоположения;</w:t>
      </w:r>
    </w:p>
    <w:p w14:paraId="2196FC9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28) неисправность системы учета расхода дизельного топлива, газа или электроэнергии;</w:t>
      </w:r>
    </w:p>
    <w:p w14:paraId="386519F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29) неисправность систем информирования машиниста о расписании и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энергооптимальной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скорости движения поезда;</w:t>
      </w:r>
    </w:p>
    <w:p w14:paraId="19A16B1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30) неисправность или отсутствие предусмотренного конструкцией предохранительного устройства от падения деталей на железнодорожный путь;</w:t>
      </w:r>
    </w:p>
    <w:p w14:paraId="6096868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31) неисправность кодового бортового датчика системы автоматической идентификации.</w:t>
      </w:r>
    </w:p>
    <w:p w14:paraId="09B3F13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140. На инфраструктуре запрещается включать в состав поезда (кроме случаев перевозки железнодорожного подвижного состава в качестве груза на своих осях и локомотивов, пересылаемых в недействующем состоянии):</w:t>
      </w:r>
    </w:p>
    <w:p w14:paraId="573899D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1) локомотивы, имеющие:</w:t>
      </w:r>
    </w:p>
    <w:p w14:paraId="31730AC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или отключение хотя бы одного тягового электродвигателя (за исключением случаев штатного отключения исправных тяговых электродвигателей для повышения энергоэффективности локомотива при неполной тяговой нагрузке);</w:t>
      </w:r>
    </w:p>
    <w:p w14:paraId="2570375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системы газоподготовки и системы контроля загазованности (для газомоторных локомотивов);</w:t>
      </w:r>
    </w:p>
    <w:p w14:paraId="5D07413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или отсутствие устройств станционной радиосвязи на локомотивах, предназначенных для выполнения маневровых работ;</w:t>
      </w:r>
    </w:p>
    <w:p w14:paraId="7A5EDC6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системы подачи песка;</w:t>
      </w:r>
    </w:p>
    <w:p w14:paraId="243A8FC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неисправность устройства отбора мощности для высоковольтного отопления с учетом расхода электроэнергии на отопление вагонов (для пассажирских электровозов);</w:t>
      </w:r>
    </w:p>
    <w:p w14:paraId="75AA5A7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2) мотор-вагонный подвижной состав, имеющий:</w:t>
      </w:r>
    </w:p>
    <w:p w14:paraId="235EA37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связи "пассажир - машинист";</w:t>
      </w:r>
    </w:p>
    <w:p w14:paraId="00B2B4E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запорных устройств или контроля закрывания входных дверей;</w:t>
      </w:r>
    </w:p>
    <w:p w14:paraId="62D1AD45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3) специальный самоходный подвижной состав, имеющий:</w:t>
      </w:r>
    </w:p>
    <w:p w14:paraId="20F11D3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системы подачи песка;</w:t>
      </w:r>
    </w:p>
    <w:p w14:paraId="5CFB850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стопорных и предохранительных устройств приведения рабочих органов специального самоходного подвижного состава в транспортное положение, предусмотренное их конструкцией.</w:t>
      </w:r>
    </w:p>
    <w:p w14:paraId="382C200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Запрещается эксплуатация локомотивов, используемых для перевозки пассажиров, специальных и опасных грузов, и головных вагонов мотор-вагонного подвижного состава без предусмотренной конструкторской документацией исправно работающей аппаратуры спутниковой навигации.</w:t>
      </w:r>
    </w:p>
    <w:p w14:paraId="0FD5CAB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Порядок эксплуатации локомотивов, мотор-вагонного и специального самоходного подвижного состава на инфраструктуре (железнодорожных путях необщего пользования) при возникновении указанных неисправностей в пути следования устанавливается локальным нормативным актом владельца инфраструктуры (владельца железнодорожных путей необщего пользования).</w:t>
      </w:r>
    </w:p>
    <w:p w14:paraId="17CEB955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141. Локомотивы, мотор-вагонный подвижной состав и специальный самоходный подвижной состав запрещается допускать к эксплуатации на инфраструктуре, железнодорожных путях необщего пользования без обслуживания (регулировки) и проверки действия (работоспособности), предусмотренных эксплуатационной документацией, следующих устройств:</w:t>
      </w:r>
    </w:p>
    <w:p w14:paraId="70A8A61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локомотивных устройств безопасности;</w:t>
      </w:r>
    </w:p>
    <w:p w14:paraId="10F9247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устройств поездной и станционной радиосвязи или их несовместимость с сетями радиосвязи на участках обращения соответствующего железнодорожного подвижного состава;</w:t>
      </w:r>
    </w:p>
    <w:p w14:paraId="40F7B33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средств беспроводной передачи данных (при использовании);</w:t>
      </w:r>
    </w:p>
    <w:p w14:paraId="79A3B06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систем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автоведения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>, регистрации параметров работы, систем учета расходов дизельного топлива или электроэнергии (при использовании);</w:t>
      </w:r>
    </w:p>
    <w:p w14:paraId="17B354A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системы автоматизированного вождения грузовых соединенных поездов и поездов повышенной массы и длины (при использовании);</w:t>
      </w:r>
    </w:p>
    <w:p w14:paraId="55C47B6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системы автоматического и (или) дистанционного управления (при использовании).</w:t>
      </w:r>
    </w:p>
    <w:p w14:paraId="6DBE7F8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 и порядок осмотра перечисленных устройств, порядок расшифровки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скоростемерных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лент и (или) файлов, размещенных на электронных носителях, устанавливаются локальным нормативным актом владельца железнодорожного подвижного состава, с учетом требований, установленных на инфраструктуре (железнодорожных путях необщего пользования).</w:t>
      </w:r>
    </w:p>
    <w:p w14:paraId="402FFDF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142. На отдельных участках железнодорожных путей общего пользования в соответствии с перечнем, определенным локальным нормативным актом владельца инфраструктуры, допускается обслуживание локомотива, моторвагонного и специального самоходного подвижного состава машинистом без помощника машиниста.</w:t>
      </w:r>
    </w:p>
    <w:p w14:paraId="0C2FD4E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Владелец инфраструктуры (владелец железнодорожных путей необщего пользования), владелец железнодорожного подвижного состава локальным нормативным актом устанавливает порядок обслуживания локомотива, мотор-вагонного и специального самоходного подвижного состава машинистом без помощника машиниста, обеспечивающий безопасность движения поездов в соответствии с Правилами.</w:t>
      </w:r>
    </w:p>
    <w:p w14:paraId="2207CE1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143. На инфраструктуре, железнодорожных путях необщего пользования запрещается эксплуатировать локомотивы (кроме маневровых), мотор-вагонный и специальный самоходный подвижной состав, управляемые машинистом без помощника машиниста, при неисправности (в соответствии с эксплуатационной документацией) или отсутствии следующих устройств (дополнительно к устройствам, указанным в </w:t>
      </w:r>
      <w:hyperlink r:id="rId10" w:anchor="block_1141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пункте 141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Правил):</w:t>
      </w:r>
    </w:p>
    <w:p w14:paraId="207AA50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систем контроля скорости движения поезда, автоматического торможения при превышении допустимой скорости, контроля бодрствования (бдительности) машиниста;</w:t>
      </w:r>
    </w:p>
    <w:p w14:paraId="1C19880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зеркал и (или) видеокамер заднего вида;</w:t>
      </w:r>
    </w:p>
    <w:p w14:paraId="1A84853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блокировки тормоза (для локомотивов);</w:t>
      </w:r>
    </w:p>
    <w:p w14:paraId="68F7F89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устройств для очистки лобовых стекол кабины машиниста;</w:t>
      </w:r>
    </w:p>
    <w:p w14:paraId="0C0939C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устройств поездной и станционной радиосвязи или их несовместимости с сетями радиосвязи на участках обращения соответствующего железнодорожного подвижного состава.</w:t>
      </w:r>
    </w:p>
    <w:p w14:paraId="58FAA7F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Запрещается эксплуатировать на инфраструктуре, железнодорожных путях необщего пользования маневровые локомотивы, управляемые машинистом без помощника машиниста, при неисправности (в соответствии с эксплуатационной документацией) или отсутствии следующих устройств (помимо указанных в настоящем пункте):</w:t>
      </w:r>
    </w:p>
    <w:p w14:paraId="23098CD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устройств дистанционной отцепки маневрового локомотива от вагонов;</w:t>
      </w:r>
    </w:p>
    <w:p w14:paraId="406BCD3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второго пульта управления;</w:t>
      </w:r>
    </w:p>
    <w:p w14:paraId="02ADC0E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зеркал и (или) видеокамер заднего вида;</w:t>
      </w:r>
    </w:p>
    <w:p w14:paraId="5ECD4D2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устройств, обеспечивающих автоматическую остановку в случае внезапной потери машинистом способности к ведению локомотива;</w:t>
      </w:r>
    </w:p>
    <w:p w14:paraId="0515D41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средств станционной радиосвязи, совместимых со станционной радиосвязью, используемой на железнодорожных станциях обращения;</w:t>
      </w:r>
    </w:p>
    <w:p w14:paraId="31758D8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локомотивных устройств безопасности на маневровых локомотивах владельцев железнодорожных путей необщего пользования, выходящих на железнодорожную станцию примыкания железнодорожных путей общего пользования.</w:t>
      </w:r>
    </w:p>
    <w:p w14:paraId="05C36FD4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144. Запрещается включать в состав поезда пассажирские вагоны (кроме случаев перевозки железнодорожного подвижного состава в качестве груза на своих осях), имеющие:</w:t>
      </w:r>
    </w:p>
    <w:p w14:paraId="35A5CE3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неисправность электропневматического тормоза;</w:t>
      </w:r>
    </w:p>
    <w:p w14:paraId="34E3EDC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системы отопления или электроотопления;</w:t>
      </w:r>
    </w:p>
    <w:p w14:paraId="27263CD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неисправность электрооборудования, вентиляции, климатических систем;</w:t>
      </w:r>
    </w:p>
    <w:p w14:paraId="00F9EC5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неисправность радиосвязи начальника (механика-бригадира) пассажирского поезда с машинистом локомотива в пассажирском вагоне с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радиокупе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(штабном вагоне).</w:t>
      </w:r>
    </w:p>
    <w:p w14:paraId="0EED6BD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Запрещается выдавать под пассажирские поезда электровозы без исправно работающего устройства отбора мощности для высоковольтного отопления с учетом расхода электроэнергии на отопление вагонов.</w:t>
      </w:r>
    </w:p>
    <w:p w14:paraId="454F494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Запрещается следование пассажирских вагонов на тележках типа КВЗ-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вагонов на тележках типа КВЗ-И2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со скоростью более 120 км/ч. Запрещается включать в пассажирские поезда специальные вагоны на тележках типа КВЗ-И2, ЦМВ</w:t>
      </w:r>
      <w:r w:rsidRPr="00860A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, КВЗ-5.</w:t>
      </w:r>
    </w:p>
    <w:p w14:paraId="0DBB589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145. Запрещается включать в состав поезда, следующие по инфраструктуре во всех видах сообщения груженые грузовые вагоны (кроме случаев перевозки железнодорожного подвижного состава в качестве груза на своих осях), в отношении которых после 1 января 2016 г. выполнены работы по продлению назначенных сроков службы (ресурсов), за исключением:</w:t>
      </w:r>
    </w:p>
    <w:p w14:paraId="67434E2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специального железнодорожного подвижного состава, включаемого в хозяйственные поезда и предназначенного для производства работ по содержанию, обслуживанию, ремонту сооружений и устройств железных дорог;</w:t>
      </w:r>
    </w:p>
    <w:p w14:paraId="1C1A4D8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вагонов пожарных и восстановительных поездов;</w:t>
      </w:r>
    </w:p>
    <w:p w14:paraId="381D8E6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вагонов-цистерн, предназначенных для перевозки желтого фосфора, виноматериалов, гептила,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амила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, уксусной кислоты, ядохимикатов,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алкилбензолсульфокислоты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, меланжа, молока, поливинилхлорида, капролактама,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суперфосфорной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кислоты,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сульфанола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EC2AF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рефрижераторных вагонов;</w:t>
      </w:r>
    </w:p>
    <w:p w14:paraId="5F39AFCE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вагонов-термосов;</w:t>
      </w:r>
    </w:p>
    <w:p w14:paraId="431A5CC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вагонов-ледников;</w:t>
      </w:r>
    </w:p>
    <w:p w14:paraId="65656008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вагонов-дизель-электростанций;</w:t>
      </w:r>
    </w:p>
    <w:p w14:paraId="7D21FFC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вагонов-транспортеров;</w:t>
      </w:r>
    </w:p>
    <w:p w14:paraId="1C5E4C3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вагонов-платформ для перевозки гусеничной и колесной техники.</w:t>
      </w:r>
    </w:p>
    <w:p w14:paraId="689E821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146. После выгрузки груза грузовые вагоны должны быть очищены внутри и снаружи от его остатков в соответствии с </w:t>
      </w:r>
      <w:hyperlink r:id="rId11" w:anchor="block_1000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Правилами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очистки и промывки вагонов и контейнеров после выгрузки грузов, утвержденными </w:t>
      </w:r>
      <w:hyperlink r:id="rId12" w:history="1">
        <w:r w:rsidRPr="00860AFA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</w:hyperlink>
      <w:r w:rsidRPr="00860AFA">
        <w:rPr>
          <w:rFonts w:ascii="Times New Roman" w:eastAsia="Times New Roman" w:hAnsi="Times New Roman" w:cs="Times New Roman"/>
          <w:sz w:val="28"/>
          <w:szCs w:val="28"/>
        </w:rPr>
        <w:t> Министерства транспорта Российской Федерации от 10 апреля 2013 г. N 119.</w:t>
      </w:r>
    </w:p>
    <w:p w14:paraId="23F0A6D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При погрузке грузовых вагонов не допускается попадание груза на буксовые узлы или подшипники колесных пар и элементы тележек или тормозное оборудование, автосцепное оборудование грузовых вагонов.</w:t>
      </w:r>
    </w:p>
    <w:p w14:paraId="623D1F5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Запрещается эксплуатация грузовых вагонов при наличии признаков температурного воздействия на элементы грузовых вагонов, превышающего значения, определенные эксплуатационной документацией.</w:t>
      </w:r>
    </w:p>
    <w:p w14:paraId="5DE8C81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При погрузочно-разгрузочных работах запрещается открывать и закрывать двери, погрузочные и разгрузочные крышки люков, борта грузовых вагонов с применением тракторов, погрузчиков, лебедок, кранов и другой техники, не предназначенной для выполнения данных работ.</w:t>
      </w:r>
    </w:p>
    <w:p w14:paraId="464FFE2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Запрещается устранение сдвига и восстановление сыпучести грузов в грузовых вагонах способами и устройствами, не предназначенными для этих целей.</w:t>
      </w:r>
    </w:p>
    <w:p w14:paraId="05D51C8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Колесная пара железнодорожного подвижного состава допускается к эксплуатации в соответствии с эксплуатационной документацией при выделении смазки в виде равномерно распределенного валика на уплотнении кассетного подшипника.</w:t>
      </w:r>
    </w:p>
    <w:p w14:paraId="5BB4D13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150. Запрещается эксплуатация колесных пар локомотива, имеющих:</w:t>
      </w:r>
    </w:p>
    <w:p w14:paraId="42CA36B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1) остроконечный накат на гребне колеса в зоне поверхности от точки, расположенной на расстоянии (2</w:t>
      </w:r>
      <w:r w:rsidRPr="00860AF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AC7FA5" wp14:editId="30A9DE45">
            <wp:extent cx="135255" cy="198755"/>
            <wp:effectExtent l="0" t="0" r="0" b="0"/>
            <wp:docPr id="1" name="Рисунок 1" descr="https://base.garant.ru/files/base/405042985/679140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files/base/405042985/6791400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0,1) мм от вершины гребня, и до точки, расположенной на расстоянии (13</w:t>
      </w:r>
      <w:r w:rsidRPr="00860AF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FC0C452" wp14:editId="21387407">
            <wp:extent cx="135255" cy="198755"/>
            <wp:effectExtent l="0" t="0" r="0" b="0"/>
            <wp:docPr id="2" name="Рисунок 2" descr="https://base.garant.ru/files/base/405042985/679140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files/base/405042985/6791400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0,1) мм от поверхности катания;</w:t>
      </w:r>
    </w:p>
    <w:p w14:paraId="62A101B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2) параметр крутизны (опасная форма гребня) менее 6,0 мм;</w:t>
      </w:r>
    </w:p>
    <w:p w14:paraId="55CC768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выщербину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>, раковину или вмятину на круге катания колесных пар глубиной более 3 мм и длиной более 10 мм;</w:t>
      </w:r>
    </w:p>
    <w:p w14:paraId="1FEC85E5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4) раковины на поверхности катания бандажа, обода цельнокатаного колеса;</w:t>
      </w:r>
    </w:p>
    <w:p w14:paraId="4FD95C0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выщербины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или вмятины на вершине гребня глубиной более 3 мм, длиной более 4 мм;</w:t>
      </w:r>
    </w:p>
    <w:p w14:paraId="60ACA7C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6) ослабление бандажа на колесном центре;</w:t>
      </w:r>
    </w:p>
    <w:p w14:paraId="5AAE37D7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7) сдвиг контрольной отметки бандажа относительно контрольной отметки колесного центра;</w:t>
      </w:r>
    </w:p>
    <w:p w14:paraId="68A1212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8) ослабление и сдвиг цельнокатаного колеса или колесного центра на оси;</w:t>
      </w:r>
    </w:p>
    <w:p w14:paraId="08828EA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9) ослабление зубчатого колеса на оси или ступице колесного центра;</w:t>
      </w:r>
    </w:p>
    <w:p w14:paraId="13A80F5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10) смещение металла (далее - навар) на поверхности катания более 0,5 мм;</w:t>
      </w:r>
    </w:p>
    <w:p w14:paraId="3162231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11) протертые места на средней части оси локомотивов тех серий, где средняя часть оси открыта при эксплуатации глубиной более 4,0 мм;</w:t>
      </w:r>
    </w:p>
    <w:p w14:paraId="1CE863E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12) местное или общее увеличение ширины бандажа или обода цельнокатаного колеса более 6,0 мм;</w:t>
      </w:r>
    </w:p>
    <w:p w14:paraId="1A4D39C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13) ослабление бандажного кольца более чем в трех местах по его окружности суммарной длиной ослабленного места более 30 % окружности кольца, а также ближе 100 мм к замку кольца;</w:t>
      </w:r>
    </w:p>
    <w:p w14:paraId="1FAE959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14) трещину в любой части оси колесной пары, ободе, диске, ступице или бандаже колеса;</w:t>
      </w:r>
    </w:p>
    <w:p w14:paraId="07AD4C8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15) кольцевые выработки от тормозных колодок на поверхности катания на расстоянии до 40 мм от наружного торца бандажа глубиной более </w:t>
      </w:r>
      <w:r w:rsidRPr="00860AFA">
        <w:rPr>
          <w:rFonts w:ascii="Times New Roman" w:eastAsia="Times New Roman" w:hAnsi="Times New Roman" w:cs="Times New Roman"/>
          <w:sz w:val="28"/>
          <w:szCs w:val="28"/>
        </w:rPr>
        <w:lastRenderedPageBreak/>
        <w:t>2 мм, шириной более 15 мм, а на других участках поверхности катания бандажа глубиной более 1 мм, шириной более 2 мм;</w:t>
      </w:r>
    </w:p>
    <w:p w14:paraId="1E5C760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16) неисправность буксовых, моторно-осевых подшипников и опорных подшипников тяговых редукторов, характеризующаяся нагревом их узлов до температуры более 80°С;</w:t>
      </w:r>
    </w:p>
    <w:p w14:paraId="5C28FF3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17) электродуговые ожоги и плены на средней части оси;</w:t>
      </w:r>
    </w:p>
    <w:p w14:paraId="2BD32FC1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18) вертикальный подрез гребня более 18 мм;</w:t>
      </w:r>
    </w:p>
    <w:p w14:paraId="5FDBCBFD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19) разность толщины гребней у одной колесной пары локомотива при минимальной толщине одного из гребней 27 мм и менее более 4 мм;</w:t>
      </w:r>
    </w:p>
    <w:p w14:paraId="0E2D90B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20) забоины, вмятины, </w:t>
      </w:r>
      <w:proofErr w:type="spellStart"/>
      <w:r w:rsidRPr="00860AFA">
        <w:rPr>
          <w:rFonts w:ascii="Times New Roman" w:eastAsia="Times New Roman" w:hAnsi="Times New Roman" w:cs="Times New Roman"/>
          <w:sz w:val="28"/>
          <w:szCs w:val="28"/>
        </w:rPr>
        <w:t>протертость</w:t>
      </w:r>
      <w:proofErr w:type="spell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средней части оси глубиной более 2,5 мм (5 мм и более по диаметру);</w:t>
      </w:r>
    </w:p>
    <w:p w14:paraId="0514795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21) следы контакта с электродом или электросварочным проводом в любой части оси колесной пары;</w:t>
      </w:r>
    </w:p>
    <w:p w14:paraId="7D80E54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22) сдвиг или ослабление ступицы колеса на </w:t>
      </w:r>
      <w:proofErr w:type="gramStart"/>
      <w:r w:rsidRPr="00860AFA">
        <w:rPr>
          <w:rFonts w:ascii="Times New Roman" w:eastAsia="Times New Roman" w:hAnsi="Times New Roman" w:cs="Times New Roman"/>
          <w:sz w:val="28"/>
          <w:szCs w:val="28"/>
        </w:rPr>
        <w:t>под ступичной части</w:t>
      </w:r>
      <w:proofErr w:type="gramEnd"/>
      <w:r w:rsidRPr="00860AFA">
        <w:rPr>
          <w:rFonts w:ascii="Times New Roman" w:eastAsia="Times New Roman" w:hAnsi="Times New Roman" w:cs="Times New Roman"/>
          <w:sz w:val="28"/>
          <w:szCs w:val="28"/>
        </w:rPr>
        <w:t xml:space="preserve"> оси;</w:t>
      </w:r>
    </w:p>
    <w:p w14:paraId="54E90F10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23) местное уширение обода колеса (раздавливание) более 5 мм;</w:t>
      </w:r>
    </w:p>
    <w:p w14:paraId="0BF3C83C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24) поверхностный откол наружной грани обода колеса глубиной (по радиусу колеса) более 10 мм, наличие трещины, распространяющейся в глубь металла, или если ширина оставшейся части обода в месте откола менее 120 мм.</w:t>
      </w:r>
    </w:p>
    <w:p w14:paraId="22555D19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При скоростях движения до 120 км/ч включительно (дополнительно к браковочным параметрам, указанным выше в настоящем пункте):</w:t>
      </w:r>
    </w:p>
    <w:p w14:paraId="3FE13D8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25) равномерный прокат по кругу катания у локомотивов - более 7 мм, а у локомотивов на железнодорожных путях необщего пользования - более 9 мм;</w:t>
      </w:r>
    </w:p>
    <w:p w14:paraId="3F016B42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26) толщину гребня более 33 мм или менее 25 мм у локомотивов (для локомотивов на железнодорожных путях необщего пользования (горнорудных предприятий) - менее 22 мм) при измерении на расстоянии (20 </w:t>
      </w:r>
      <w:r w:rsidRPr="00860AF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C7FC4D" wp14:editId="4C26BB96">
            <wp:extent cx="135255" cy="198755"/>
            <wp:effectExtent l="0" t="0" r="0" b="0"/>
            <wp:docPr id="3" name="Рисунок 3" descr="https://base.garant.ru/files/base/405042985/679140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se.garant.ru/files/base/405042985/6791400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 0,1) мм от вершины гребня при высоте гребня 30 мм, у локомотивов с высотой гребня 28 мм - при измерении на расстоянии (18</w:t>
      </w:r>
      <w:r w:rsidRPr="00860AF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F74A61" wp14:editId="1DED1966">
            <wp:extent cx="135255" cy="198755"/>
            <wp:effectExtent l="0" t="0" r="0" b="0"/>
            <wp:docPr id="4" name="Рисунок 4" descr="https://base.garant.ru/files/base/405042985/679140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se.garant.ru/files/base/405042985/6791400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0,1) мм от вершины гребня;</w:t>
      </w:r>
    </w:p>
    <w:p w14:paraId="347CA44F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27) ползун (выбоину) на круге катания колеса глубиной более 1 мм.</w:t>
      </w:r>
    </w:p>
    <w:p w14:paraId="2CB842AB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При скоростях движения от 120 до 140 км/ч включительно (дополнительно к браковочным параметрам, приведенным для скоростей движения до 120 км/ч включительно):</w:t>
      </w:r>
    </w:p>
    <w:p w14:paraId="33E2570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28) равномерный прокат по кругу катания более 5 мм;</w:t>
      </w:r>
    </w:p>
    <w:p w14:paraId="0D31E7F6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29) толщину гребня более 33 мм или менее 28 мм у локомотивов при измерении на расстоянии (20</w:t>
      </w:r>
      <w:r w:rsidRPr="00860AF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BF40D56" wp14:editId="4CB06752">
            <wp:extent cx="135255" cy="198755"/>
            <wp:effectExtent l="0" t="0" r="0" b="0"/>
            <wp:docPr id="5" name="Рисунок 5" descr="https://base.garant.ru/files/base/405042985/679140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ase.garant.ru/files/base/405042985/6791400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0,1) мм от вершины гребня при высоте гребня 30 мм, а у локомотивов с высотой гребня 28 мм - при измерении на расстоянии (18</w:t>
      </w:r>
      <w:r w:rsidRPr="00860AF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6788EC8" wp14:editId="7A0A47E6">
            <wp:extent cx="135255" cy="198755"/>
            <wp:effectExtent l="0" t="0" r="0" b="0"/>
            <wp:docPr id="6" name="Рисунок 6" descr="https://base.garant.ru/files/base/405042985/679140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ase.garant.ru/files/base/405042985/6791400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FA">
        <w:rPr>
          <w:rFonts w:ascii="Times New Roman" w:eastAsia="Times New Roman" w:hAnsi="Times New Roman" w:cs="Times New Roman"/>
          <w:sz w:val="28"/>
          <w:szCs w:val="28"/>
        </w:rPr>
        <w:t>0,1) мм от вершины гребня;</w:t>
      </w:r>
    </w:p>
    <w:p w14:paraId="4E9C8D3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30) ползун (выбоину) по кругу катания глубиной более 1 мм;</w:t>
      </w:r>
    </w:p>
    <w:p w14:paraId="66E2C123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31) толщину обода цельнокатаного колеса менее 25 мм;</w:t>
      </w:r>
    </w:p>
    <w:p w14:paraId="2418381A" w14:textId="77777777" w:rsidR="00860AFA" w:rsidRPr="00860AFA" w:rsidRDefault="00860AFA" w:rsidP="00860A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AFA">
        <w:rPr>
          <w:rFonts w:ascii="Times New Roman" w:eastAsia="Times New Roman" w:hAnsi="Times New Roman" w:cs="Times New Roman"/>
          <w:sz w:val="28"/>
          <w:szCs w:val="28"/>
        </w:rPr>
        <w:t>32) толщину бандажа менее 45 мм для электровозов и менее 36 мм для тепловозов;</w:t>
      </w:r>
    </w:p>
    <w:p w14:paraId="502D15DC" w14:textId="77777777" w:rsidR="0034080A" w:rsidRDefault="0034080A" w:rsidP="0034080A">
      <w:pPr>
        <w:pStyle w:val="ConsPlusNormal"/>
        <w:jc w:val="center"/>
      </w:pPr>
    </w:p>
    <w:sectPr w:rsidR="0034080A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88B"/>
    <w:rsid w:val="0002222D"/>
    <w:rsid w:val="00090D3A"/>
    <w:rsid w:val="000A757C"/>
    <w:rsid w:val="000F0502"/>
    <w:rsid w:val="00121266"/>
    <w:rsid w:val="001608E7"/>
    <w:rsid w:val="00243F82"/>
    <w:rsid w:val="00340668"/>
    <w:rsid w:val="0034080A"/>
    <w:rsid w:val="003F3C93"/>
    <w:rsid w:val="00481147"/>
    <w:rsid w:val="00515B6A"/>
    <w:rsid w:val="00592817"/>
    <w:rsid w:val="00617EDA"/>
    <w:rsid w:val="006628FC"/>
    <w:rsid w:val="00737A57"/>
    <w:rsid w:val="00760E23"/>
    <w:rsid w:val="007B6375"/>
    <w:rsid w:val="00860AFA"/>
    <w:rsid w:val="00962BC9"/>
    <w:rsid w:val="00976310"/>
    <w:rsid w:val="00A500D7"/>
    <w:rsid w:val="00B1666F"/>
    <w:rsid w:val="00B7088B"/>
    <w:rsid w:val="00CC0162"/>
    <w:rsid w:val="00D02B92"/>
    <w:rsid w:val="00E873AE"/>
    <w:rsid w:val="00F13754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6D39"/>
  <w15:docId w15:val="{19800BB1-8CDB-4939-8F26-833F8DD4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B6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62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8499/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05042985/8ba4c8aba5958e0331609d6c2e7fb6c5/" TargetMode="External"/><Relationship Id="rId12" Type="http://schemas.openxmlformats.org/officeDocument/2006/relationships/hyperlink" Target="https://base.garant.ru/7038086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5042985/8ba4c8aba5958e0331609d6c2e7fb6c5/" TargetMode="External"/><Relationship Id="rId11" Type="http://schemas.openxmlformats.org/officeDocument/2006/relationships/hyperlink" Target="https://base.garant.ru/70380862/c0e91dda79526eb425634ce74956b0f2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405042985/8ba4c8aba5958e0331609d6c2e7fb6c5/" TargetMode="External"/><Relationship Id="rId4" Type="http://schemas.openxmlformats.org/officeDocument/2006/relationships/hyperlink" Target="https://base.garant.ru/405042985/8ba4c8aba5958e0331609d6c2e7fb6c5/" TargetMode="External"/><Relationship Id="rId9" Type="http://schemas.openxmlformats.org/officeDocument/2006/relationships/hyperlink" Target="https://base.garant.ru/254031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4768</Words>
  <Characters>27180</Characters>
  <Application>Microsoft Office Word</Application>
  <DocSecurity>0</DocSecurity>
  <Lines>226</Lines>
  <Paragraphs>63</Paragraphs>
  <ScaleCrop>false</ScaleCrop>
  <Company/>
  <LinksUpToDate>false</LinksUpToDate>
  <CharactersWithSpaces>31885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Михаил</cp:lastModifiedBy>
  <cp:revision>20</cp:revision>
  <dcterms:created xsi:type="dcterms:W3CDTF">2020-09-02T04:13:00Z</dcterms:created>
  <dcterms:modified xsi:type="dcterms:W3CDTF">2024-10-05T04:44:00Z</dcterms:modified>
</cp:coreProperties>
</file>