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50D20">
      <w:pPr>
        <w:jc w:val="center"/>
        <w:rPr>
          <w:rFonts w:ascii="Times New Roman" w:hAnsi="Times New Roman" w:cs="Times New Roman"/>
          <w:b/>
          <w:bCs/>
          <w:sz w:val="32"/>
          <w:szCs w:val="32"/>
        </w:rPr>
      </w:pPr>
      <w:r>
        <w:rPr>
          <w:rFonts w:ascii="Times New Roman" w:hAnsi="Times New Roman" w:cs="Times New Roman"/>
          <w:b/>
          <w:bCs/>
          <w:sz w:val="32"/>
          <w:szCs w:val="32"/>
        </w:rPr>
        <w:t>Российская революция: Февраль 1917 года</w:t>
      </w:r>
    </w:p>
    <w:p w14:paraId="72F4B41B">
      <w:pPr>
        <w:jc w:val="both"/>
        <w:rPr>
          <w:rFonts w:ascii="Times New Roman" w:hAnsi="Times New Roman" w:cs="Times New Roman"/>
          <w:sz w:val="28"/>
          <w:szCs w:val="28"/>
        </w:rPr>
      </w:pPr>
      <w:r>
        <w:rPr>
          <w:rFonts w:ascii="Times New Roman" w:hAnsi="Times New Roman" w:cs="Times New Roman"/>
          <w:b/>
          <w:bCs/>
          <w:sz w:val="28"/>
          <w:szCs w:val="28"/>
        </w:rPr>
        <w:t>Объективные и  субъективные причины революционного кризиса</w:t>
      </w:r>
      <w:r>
        <w:rPr>
          <w:rFonts w:ascii="Times New Roman" w:hAnsi="Times New Roman" w:cs="Times New Roman"/>
          <w:sz w:val="28"/>
          <w:szCs w:val="28"/>
        </w:rPr>
        <w:t xml:space="preserve">. В начале 1917 г. ситуация в России стала взрывоопасной. Резкое недовольство вызывали рост цен, спекуляции, перебои со  снабжением крупных городов необходимыми товарами и главное — очереди за хлебом. К  этому добавлялись неудачи на фронтах, просчёты власти и лично Николая II, не сумевших справиться с нарастающими проблемами. Это вызывало нарастание критики императора и слева, и справа. Авторитет монарха и монархии стремительно снижался. Главные события революции происходили в Петрограде. Суровая зима усугубила сложное положение на железных дорогах: множество паровозов вышло из строя, десятки тысяч вагонов простаивали на путях из-за снежных заносов. Перебои в снабжении города продовольствием и топливом стали систематическими. Городские власти обсуждали необходимость введения карточной системы в  распределении хлеба: его продажу хотели ограничить 400 граммами в день на человека. Перед хлебными магазинами даже ночью выстраивались огромные очереди («хвосты»). 18 февраля (3 марта) из-за отсутствия топлива остановилось производство на Путиловском заводе. Более 30 тыс. рабочих оказались без средств к существованию. В последующие дни произошла остановка и ряда других заводов. Это послужило поводом для массовых уличных выступлений. 23 февраля (8 марта) на демонстрации под лозунгами «Хлеба!» и «Долой голод!» вышли женщины-работницы. 24 февраля началась всеобщая забастовка рабочих. У бастующих появились политические лозунги «Долой царизм!», «Долой войну!». На митингах поднимались красные флаги, звучали революционные песни. Всего в эти дни на улицы вышли более 300 тыс. человек. 25 февраля (10 марта) Николай  II из Ставки в Могилёве отправил командующему войсками Петроградского военного округа телеграмму: «Повелеваю завтра же прекратить беспорядки, недопустимые в тяжёлое время войны с Германией и Австрией. Николай». 26 февраля (11 марта) деятельность Государственной думы была приостановлена. В Петрограде были отмечены случаи неповиновения войск, возмущённых решением использовать их для подавления демонстраций и приказами стрелять в толпу. </w:t>
      </w:r>
    </w:p>
    <w:p w14:paraId="45849765">
      <w:pPr>
        <w:jc w:val="both"/>
        <w:rPr>
          <w:rFonts w:ascii="Times New Roman" w:hAnsi="Times New Roman" w:cs="Times New Roman"/>
          <w:sz w:val="28"/>
          <w:szCs w:val="28"/>
        </w:rPr>
      </w:pPr>
      <w:r>
        <w:rPr>
          <w:rFonts w:ascii="Times New Roman" w:hAnsi="Times New Roman" w:cs="Times New Roman"/>
          <w:b/>
          <w:bCs/>
          <w:sz w:val="28"/>
          <w:szCs w:val="28"/>
        </w:rPr>
        <w:t>2 Падение монархии</w:t>
      </w:r>
      <w:r>
        <w:rPr>
          <w:rFonts w:ascii="Times New Roman" w:hAnsi="Times New Roman" w:cs="Times New Roman"/>
          <w:sz w:val="28"/>
          <w:szCs w:val="28"/>
        </w:rPr>
        <w:t xml:space="preserve">. </w:t>
      </w:r>
      <w:r>
        <w:rPr>
          <w:rFonts w:ascii="Times New Roman" w:hAnsi="Times New Roman" w:cs="Times New Roman"/>
          <w:b/>
          <w:bCs/>
          <w:sz w:val="28"/>
          <w:szCs w:val="28"/>
        </w:rPr>
        <w:t>Двоевластие</w:t>
      </w:r>
      <w:r>
        <w:rPr>
          <w:rFonts w:ascii="Times New Roman" w:hAnsi="Times New Roman" w:cs="Times New Roman"/>
          <w:sz w:val="28"/>
          <w:szCs w:val="28"/>
        </w:rPr>
        <w:t xml:space="preserve">. Вечером 27 февраля (12 марта) большое число людей собралось у  Таврического дворца. Здесь находились не подчинившиеся царскому указу депутаты Государственной думы. Они создали </w:t>
      </w:r>
      <w:r>
        <w:rPr>
          <w:rFonts w:ascii="Times New Roman" w:hAnsi="Times New Roman" w:cs="Times New Roman"/>
          <w:b/>
          <w:bCs/>
          <w:sz w:val="28"/>
          <w:szCs w:val="28"/>
        </w:rPr>
        <w:t>Временный комитет Государственной думы</w:t>
      </w:r>
      <w:r>
        <w:rPr>
          <w:rFonts w:ascii="Times New Roman" w:hAnsi="Times New Roman" w:cs="Times New Roman"/>
          <w:sz w:val="28"/>
          <w:szCs w:val="28"/>
        </w:rPr>
        <w:t xml:space="preserve"> во главе с М. Родзянко. В Таврическом дворце заседали освобождённые из тюрем рабочие-активисты, члены социал-демократической фракции Думы, представители левой интеллигенции. Было решено, как и в 1905 г., создать </w:t>
      </w:r>
      <w:r>
        <w:rPr>
          <w:rFonts w:ascii="Times New Roman" w:hAnsi="Times New Roman" w:cs="Times New Roman"/>
          <w:b/>
          <w:bCs/>
          <w:sz w:val="28"/>
          <w:szCs w:val="28"/>
        </w:rPr>
        <w:t>Петроградский Совет рабочих и солдатских депутатов</w:t>
      </w:r>
      <w:r>
        <w:rPr>
          <w:rFonts w:ascii="Times New Roman" w:hAnsi="Times New Roman" w:cs="Times New Roman"/>
          <w:sz w:val="28"/>
          <w:szCs w:val="28"/>
        </w:rPr>
        <w:t xml:space="preserve">. Председателем Исполнительного комитета Совета избрали лидера социал-демократической фракции Думы меньшевика Н.  Чхеидзе, его заместителями — А. Керенского (вскоре он стал эсером) и меньшевика М. Скобелева. Большинство членов Совета были меньшевиками и эсерами. В ночь с  1 на 2 (с 14 на 15) марта 1917  г. Временный комитет и Исполком Петросовета договорились об образовании </w:t>
      </w:r>
      <w:r>
        <w:rPr>
          <w:rFonts w:ascii="Times New Roman" w:hAnsi="Times New Roman" w:cs="Times New Roman"/>
          <w:b/>
          <w:bCs/>
          <w:sz w:val="28"/>
          <w:szCs w:val="28"/>
        </w:rPr>
        <w:t>Временного правительства</w:t>
      </w:r>
      <w:r>
        <w:rPr>
          <w:rFonts w:ascii="Times New Roman" w:hAnsi="Times New Roman" w:cs="Times New Roman"/>
          <w:sz w:val="28"/>
          <w:szCs w:val="28"/>
        </w:rPr>
        <w:t xml:space="preserve"> (глава — известный земский деятель, кадет князь Г. Львов). Оно состояло из представителей партий октябристов и  кадетов, однако его программа должна была согласовываться с  Петроградским советом. Временным правительство называлось потому, что должно было действовать до созыва Всероссийского Учредительного собрания. Пост министра иностранных дел получил лидер кадетов П. Милюков. Октябрист А. Гучков стал военным и  морским министром. Представитель социалистов А.  Керенский занял кресло министра юстиции. </w:t>
      </w:r>
    </w:p>
    <w:p w14:paraId="39469B96">
      <w:pPr>
        <w:jc w:val="both"/>
        <w:rPr>
          <w:rFonts w:ascii="Times New Roman" w:hAnsi="Times New Roman" w:cs="Times New Roman"/>
          <w:sz w:val="28"/>
          <w:szCs w:val="28"/>
        </w:rPr>
      </w:pPr>
      <w:r>
        <w:rPr>
          <w:rFonts w:ascii="Times New Roman" w:hAnsi="Times New Roman" w:cs="Times New Roman"/>
          <w:sz w:val="28"/>
          <w:szCs w:val="28"/>
        </w:rPr>
        <w:t>Николай  II, находившийся в Ставке в Могилёве, 28 февраля выехал в Царское Село, но ночью 1 (14) марта ему сообщили, что ближайшие железнодорожные узлы заняты бунтующими войсками. Царский поезд повернул в Псков, где находился штаб Северного фронта. В ночь с 1 на 2 (с 14 на 15) марта Председатель Думы М. Родзянко по телеграфу просил главнокомандующего Северным фронтом Н. Рузского убедить Николая  II отречься от престола в пользу 13-летнего сына Алексея, а регентом назначить своего брата Михаила. Всем главнокомандующим фронтами были направлены телеграммы с просьбой высказать своё мнение по вопросу об отречении. «Обстановка, по-видимому, не допускает иного решения»,  — говорилось в телеграмме. Эта фраза была подсказкой ожидаемого ответа. Высшие армейские чины в ответных телеграммах предложили царю отречься. Вечером 2 (15) марта потрясённый Николай II подписал акт об отречении от престола (за себя и за цесаревича Алексея) в пользу младшего брата Михаила. Тот на следующий день заявил, что судьбу монархии должно решить Учредительное собрание. Российская монархия фактически прекратила своё существование.</w:t>
      </w:r>
    </w:p>
    <w:p w14:paraId="62EE110E">
      <w:pPr>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стране сложилось </w:t>
      </w:r>
      <w:r>
        <w:rPr>
          <w:rFonts w:ascii="Times New Roman" w:hAnsi="Times New Roman" w:cs="Times New Roman"/>
          <w:b/>
          <w:bCs/>
          <w:sz w:val="28"/>
          <w:szCs w:val="28"/>
        </w:rPr>
        <w:t xml:space="preserve">двоевластие </w:t>
      </w:r>
      <w:r>
        <w:rPr>
          <w:rFonts w:ascii="Times New Roman" w:hAnsi="Times New Roman" w:cs="Times New Roman"/>
          <w:sz w:val="28"/>
          <w:szCs w:val="28"/>
        </w:rPr>
        <w:t>— период в истории Российского государства с февраля по июль 1917 г., когда у власти находились одновременно два центра власти — Временное правительство и Петроградский совет рабочих и  солдатских депутатов</w:t>
      </w:r>
    </w:p>
    <w:p w14:paraId="25B87E42">
      <w:pPr>
        <w:ind w:firstLine="708"/>
        <w:jc w:val="both"/>
        <w:rPr>
          <w:rFonts w:ascii="Times New Roman" w:hAnsi="Times New Roman" w:cs="Times New Roman"/>
          <w:sz w:val="28"/>
          <w:szCs w:val="28"/>
        </w:rPr>
      </w:pPr>
    </w:p>
    <w:p w14:paraId="1CD19BDA">
      <w:pPr>
        <w:jc w:val="both"/>
        <w:rPr>
          <w:rFonts w:ascii="Times New Roman" w:hAnsi="Times New Roman" w:cs="Times New Roman"/>
          <w:sz w:val="28"/>
          <w:szCs w:val="28"/>
        </w:rPr>
      </w:pPr>
      <w:r>
        <w:rPr>
          <w:rFonts w:ascii="Segoe UI Symbol" w:hAnsi="Segoe UI Symbol" w:cs="Segoe UI Symbol"/>
          <w:sz w:val="28"/>
          <w:szCs w:val="28"/>
        </w:rPr>
        <w:t>⬤</w:t>
      </w:r>
      <w:r>
        <w:rPr>
          <w:rFonts w:ascii="Times New Roman" w:hAnsi="Times New Roman" w:cs="Times New Roman"/>
          <w:sz w:val="28"/>
          <w:szCs w:val="28"/>
        </w:rPr>
        <w:t xml:space="preserve"> Задание. </w:t>
      </w:r>
    </w:p>
    <w:p w14:paraId="54EAA1D4">
      <w:pPr>
        <w:pStyle w:val="5"/>
        <w:numPr>
          <w:ilvl w:val="0"/>
          <w:numId w:val="1"/>
        </w:numPr>
        <w:jc w:val="both"/>
        <w:rPr>
          <w:rFonts w:ascii="Times New Roman" w:hAnsi="Times New Roman" w:cs="Times New Roman"/>
          <w:sz w:val="28"/>
          <w:szCs w:val="28"/>
        </w:rPr>
      </w:pPr>
      <w:r>
        <w:rPr>
          <w:rFonts w:ascii="Times New Roman" w:hAnsi="Times New Roman" w:cs="Times New Roman"/>
          <w:sz w:val="28"/>
          <w:szCs w:val="28"/>
        </w:rPr>
        <w:t>Определите причины февральской революции 1917 года</w:t>
      </w:r>
    </w:p>
    <w:p w14:paraId="1B476618">
      <w:pPr>
        <w:pStyle w:val="5"/>
        <w:numPr>
          <w:ilvl w:val="0"/>
          <w:numId w:val="1"/>
        </w:numPr>
        <w:jc w:val="both"/>
        <w:rPr>
          <w:rFonts w:ascii="Times New Roman" w:hAnsi="Times New Roman" w:cs="Times New Roman"/>
          <w:sz w:val="28"/>
          <w:szCs w:val="28"/>
        </w:rPr>
      </w:pPr>
      <w:r>
        <w:rPr>
          <w:rFonts w:ascii="Times New Roman" w:hAnsi="Times New Roman" w:cs="Times New Roman"/>
          <w:sz w:val="28"/>
          <w:szCs w:val="28"/>
        </w:rPr>
        <w:t>Составьте хронологическую таблицу «События февраля-марта 1917 года»</w:t>
      </w:r>
    </w:p>
    <w:tbl>
      <w:tblPr>
        <w:tblStyle w:val="4"/>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5"/>
        <w:gridCol w:w="7000"/>
      </w:tblGrid>
      <w:tr w14:paraId="2799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85" w:type="dxa"/>
          </w:tcPr>
          <w:p w14:paraId="1D2467E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Дата</w:t>
            </w:r>
          </w:p>
        </w:tc>
        <w:tc>
          <w:tcPr>
            <w:tcW w:w="7000" w:type="dxa"/>
          </w:tcPr>
          <w:p w14:paraId="18B30A2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Событие </w:t>
            </w:r>
          </w:p>
        </w:tc>
      </w:tr>
      <w:tr w14:paraId="4B56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591D63AF">
            <w:pPr>
              <w:spacing w:after="0" w:line="240" w:lineRule="auto"/>
              <w:jc w:val="both"/>
              <w:rPr>
                <w:rFonts w:ascii="Times New Roman" w:hAnsi="Times New Roman" w:cs="Times New Roman"/>
                <w:sz w:val="28"/>
                <w:szCs w:val="28"/>
              </w:rPr>
            </w:pPr>
          </w:p>
        </w:tc>
        <w:tc>
          <w:tcPr>
            <w:tcW w:w="7000" w:type="dxa"/>
          </w:tcPr>
          <w:p w14:paraId="5786040B">
            <w:pPr>
              <w:spacing w:after="0" w:line="240" w:lineRule="auto"/>
              <w:jc w:val="both"/>
              <w:rPr>
                <w:rFonts w:ascii="Times New Roman" w:hAnsi="Times New Roman" w:cs="Times New Roman"/>
                <w:sz w:val="28"/>
                <w:szCs w:val="28"/>
              </w:rPr>
            </w:pPr>
          </w:p>
        </w:tc>
      </w:tr>
      <w:tr w14:paraId="41CB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5" w:type="dxa"/>
          </w:tcPr>
          <w:p w14:paraId="3D77D365">
            <w:pPr>
              <w:spacing w:after="0" w:line="240" w:lineRule="auto"/>
              <w:jc w:val="both"/>
              <w:rPr>
                <w:rFonts w:ascii="Times New Roman" w:hAnsi="Times New Roman" w:cs="Times New Roman"/>
                <w:sz w:val="28"/>
                <w:szCs w:val="28"/>
              </w:rPr>
            </w:pPr>
          </w:p>
        </w:tc>
        <w:tc>
          <w:tcPr>
            <w:tcW w:w="7000" w:type="dxa"/>
          </w:tcPr>
          <w:p w14:paraId="38F59E70">
            <w:pPr>
              <w:spacing w:after="0" w:line="240" w:lineRule="auto"/>
              <w:jc w:val="both"/>
              <w:rPr>
                <w:rFonts w:ascii="Times New Roman" w:hAnsi="Times New Roman" w:cs="Times New Roman"/>
                <w:sz w:val="28"/>
                <w:szCs w:val="28"/>
              </w:rPr>
            </w:pPr>
          </w:p>
        </w:tc>
      </w:tr>
    </w:tbl>
    <w:p w14:paraId="12C0CC40">
      <w:pPr>
        <w:jc w:val="both"/>
        <w:rPr>
          <w:rFonts w:ascii="Times New Roman" w:hAnsi="Times New Roman" w:cs="Times New Roman"/>
          <w:sz w:val="28"/>
          <w:szCs w:val="28"/>
        </w:rPr>
      </w:pPr>
      <w:r>
        <w:rPr>
          <w:rFonts w:hint="default" w:ascii="Times New Roman" w:hAnsi="Times New Roman" w:cs="Times New Roman"/>
          <w:sz w:val="28"/>
          <w:szCs w:val="28"/>
          <w:lang w:val="ru-RU"/>
        </w:rPr>
        <w:t>3</w:t>
      </w:r>
      <w:r>
        <w:rPr>
          <w:rFonts w:ascii="Times New Roman" w:hAnsi="Times New Roman" w:cs="Times New Roman"/>
          <w:sz w:val="28"/>
          <w:szCs w:val="28"/>
        </w:rPr>
        <w:t xml:space="preserve">. Какую роль сыграли командующие фронтами в  отречении Николая II от престола? </w:t>
      </w:r>
    </w:p>
    <w:p w14:paraId="5A037AC3">
      <w:pPr>
        <w:jc w:val="both"/>
        <w:rPr>
          <w:rFonts w:ascii="Times New Roman" w:hAnsi="Times New Roman" w:cs="Times New Roman"/>
          <w:sz w:val="28"/>
          <w:szCs w:val="28"/>
        </w:rPr>
      </w:pPr>
      <w:r>
        <w:rPr>
          <w:rFonts w:hint="default" w:ascii="Times New Roman" w:hAnsi="Times New Roman" w:cs="Times New Roman"/>
          <w:sz w:val="28"/>
          <w:szCs w:val="28"/>
          <w:lang w:val="ru-RU"/>
        </w:rPr>
        <w:t>4.</w:t>
      </w:r>
      <w:r>
        <w:rPr>
          <w:rFonts w:ascii="Times New Roman" w:hAnsi="Times New Roman" w:cs="Times New Roman"/>
          <w:sz w:val="28"/>
          <w:szCs w:val="28"/>
        </w:rPr>
        <w:t xml:space="preserve"> Представители каких партий вошли в первый состав Временного правительства?</w:t>
      </w:r>
    </w:p>
    <w:p w14:paraId="219935E3">
      <w:pPr>
        <w:jc w:val="both"/>
        <w:rPr>
          <w:rFonts w:ascii="Times New Roman" w:hAnsi="Times New Roman" w:cs="Times New Roman"/>
          <w:sz w:val="28"/>
          <w:szCs w:val="28"/>
        </w:rPr>
      </w:pPr>
      <w:r>
        <w:rPr>
          <w:rFonts w:ascii="Times New Roman" w:hAnsi="Times New Roman" w:cs="Times New Roman"/>
          <w:sz w:val="28"/>
          <w:szCs w:val="28"/>
        </w:rPr>
        <w:t>5. Определите итоги февральской революции 1917 года в России</w:t>
      </w:r>
    </w:p>
    <w:p w14:paraId="30BA7A30">
      <w:pPr>
        <w:jc w:val="both"/>
        <w:rPr>
          <w:rFonts w:ascii="Times New Roman" w:hAnsi="Times New Roman" w:cs="Times New Roman"/>
          <w:b/>
          <w:bCs/>
          <w:sz w:val="28"/>
          <w:szCs w:val="28"/>
        </w:rPr>
      </w:pPr>
    </w:p>
    <w:p w14:paraId="5FD37A95">
      <w:pPr>
        <w:jc w:val="both"/>
        <w:rPr>
          <w:rFonts w:ascii="Times New Roman" w:hAnsi="Times New Roman" w:cs="Times New Roman"/>
          <w:b/>
          <w:bCs/>
          <w:sz w:val="28"/>
          <w:szCs w:val="28"/>
        </w:rPr>
      </w:pPr>
    </w:p>
    <w:p w14:paraId="182AEC13">
      <w:pPr>
        <w:jc w:val="both"/>
        <w:rPr>
          <w:rFonts w:ascii="Times New Roman" w:hAnsi="Times New Roman" w:cs="Times New Roman"/>
          <w:b/>
          <w:bCs/>
          <w:sz w:val="32"/>
          <w:szCs w:val="32"/>
        </w:rPr>
      </w:pPr>
    </w:p>
    <w:p w14:paraId="7BC64AED">
      <w:pPr>
        <w:jc w:val="both"/>
        <w:rPr>
          <w:rFonts w:ascii="Times New Roman" w:hAnsi="Times New Roman" w:cs="Times New Roman"/>
          <w:b/>
          <w:bCs/>
          <w:sz w:val="32"/>
          <w:szCs w:val="32"/>
        </w:rPr>
      </w:pPr>
      <w:r>
        <w:rPr>
          <w:rFonts w:ascii="Times New Roman" w:hAnsi="Times New Roman" w:cs="Times New Roman"/>
          <w:b/>
          <w:bCs/>
          <w:sz w:val="32"/>
          <w:szCs w:val="32"/>
        </w:rPr>
        <w:t>.</w:t>
      </w:r>
    </w:p>
    <w:p w14:paraId="769D00FF">
      <w:pPr>
        <w:jc w:val="both"/>
        <w:rPr>
          <w:rFonts w:ascii="Times New Roman" w:hAnsi="Times New Roman" w:cs="Times New Roman"/>
          <w:b/>
          <w:bCs/>
          <w:sz w:val="28"/>
          <w:szCs w:val="28"/>
        </w:rPr>
      </w:pPr>
    </w:p>
    <w:p w14:paraId="17AF316B">
      <w:pPr>
        <w:jc w:val="both"/>
        <w:rPr>
          <w:rFonts w:ascii="Times New Roman" w:hAnsi="Times New Roman" w:cs="Times New Roman"/>
          <w:b/>
          <w:bCs/>
          <w:sz w:val="28"/>
          <w:szCs w:val="28"/>
        </w:rPr>
      </w:pPr>
      <w:r>
        <w:rPr>
          <w:rFonts w:ascii="Times New Roman" w:hAnsi="Times New Roman" w:cs="Times New Roman"/>
          <w:b/>
          <w:bCs/>
          <w:sz w:val="28"/>
          <w:szCs w:val="28"/>
        </w:rPr>
        <w:t>Работа с источником</w:t>
      </w:r>
    </w:p>
    <w:p w14:paraId="1AEC7F3A">
      <w:pPr>
        <w:jc w:val="both"/>
        <w:rPr>
          <w:rFonts w:ascii="Times New Roman" w:hAnsi="Times New Roman" w:cs="Times New Roman"/>
          <w:sz w:val="28"/>
          <w:szCs w:val="28"/>
        </w:rPr>
      </w:pPr>
      <w:r>
        <w:rPr>
          <w:rFonts w:ascii="Times New Roman" w:hAnsi="Times New Roman" w:cs="Times New Roman"/>
          <w:sz w:val="28"/>
          <w:szCs w:val="28"/>
        </w:rPr>
        <w:t xml:space="preserve">Прочитайте отрывок из документа и ответьте на вопросы. </w:t>
      </w:r>
    </w:p>
    <w:p w14:paraId="20A16FF6">
      <w:pPr>
        <w:jc w:val="both"/>
        <w:rPr>
          <w:rFonts w:ascii="Times New Roman" w:hAnsi="Times New Roman" w:cs="Times New Roman"/>
          <w:sz w:val="28"/>
          <w:szCs w:val="28"/>
        </w:rPr>
      </w:pPr>
      <w:r>
        <w:rPr>
          <w:rFonts w:ascii="Times New Roman" w:hAnsi="Times New Roman" w:cs="Times New Roman"/>
          <w:sz w:val="28"/>
          <w:szCs w:val="28"/>
        </w:rPr>
        <w:t xml:space="preserve">Из манифеста Николая II </w:t>
      </w:r>
    </w:p>
    <w:p w14:paraId="2354F480">
      <w:pPr>
        <w:jc w:val="both"/>
        <w:rPr>
          <w:rFonts w:ascii="Times New Roman" w:hAnsi="Times New Roman" w:cs="Times New Roman"/>
          <w:sz w:val="28"/>
          <w:szCs w:val="28"/>
        </w:rPr>
      </w:pPr>
      <w:r>
        <w:rPr>
          <w:rFonts w:ascii="Times New Roman" w:hAnsi="Times New Roman" w:cs="Times New Roman"/>
          <w:sz w:val="28"/>
          <w:szCs w:val="28"/>
        </w:rPr>
        <w:t xml:space="preserve">«В дни великой борьбы с  внешним врагом, стремящимся почти три года поработить нашу Родину, Господу Богу угодно было ниспослать России новое тяжкое испытание. Начавшиеся внутренние народные волнения грозят бедственно отразиться на дальнейшем ведении упорной войны. Судьба России, честь геройской нашей армии, благо народа и всё будущее дорогого нашего Отечества требуют доведения войны во что бы то ни стало до победного конца. Жестокий враг напрягает последние силы, и  уже близок час, когда доблестная армия Наша, совместно со славными Нашими союзниками, сможет окончательно сломить врага. В  эти решительные дни в жизни России почли Мы долгом совести облегчить народу Нашему тесное единение и сплочение всех сил народных для скорейшего достижения победы и, в согласии с Государственною Думою, признали Мы за благо отречься от престола Государства Российского и сложить с Себя верховную власть. Не желая расстаться с любимым сыном Нашим, Мы передаём наследие Наше брату Нашему великому князю Михаилу Александровичу и  благословляем Его на вступление на престол Государства Российского. Заповедуем брату Нашему править делами государственными в  полном и  ненарушимом единении с  представителями народа в  законодательных учреждениях на тех началах, кои будут ими установлены, принеся в  том ненарушимую присягу. Во имя горячо любимой Родины призываем всех верных сынов Отечества к  исполнению своего святого долга перед ним повиновением Царю в тяжёлую минуту всенародных испытаний и помочь Ему вместе с представителями народа вывести Государство Российское на путь победы, благоденствия и славы. Да поможет Господь Бог России». </w:t>
      </w:r>
    </w:p>
    <w:p w14:paraId="34188D14">
      <w:pPr>
        <w:jc w:val="both"/>
        <w:rPr>
          <w:rFonts w:ascii="Times New Roman" w:hAnsi="Times New Roman" w:cs="Times New Roman"/>
          <w:sz w:val="28"/>
          <w:szCs w:val="28"/>
        </w:rPr>
      </w:pPr>
    </w:p>
    <w:p w14:paraId="1E39740A">
      <w:pPr>
        <w:jc w:val="both"/>
        <w:rPr>
          <w:rFonts w:ascii="Times New Roman" w:hAnsi="Times New Roman" w:cs="Times New Roman"/>
          <w:b/>
          <w:bCs/>
          <w:sz w:val="28"/>
          <w:szCs w:val="28"/>
        </w:rPr>
      </w:pPr>
      <w:r>
        <w:rPr>
          <w:rFonts w:ascii="Segoe UI Symbol" w:hAnsi="Segoe UI Symbol" w:cs="Segoe UI Symbol"/>
          <w:sz w:val="28"/>
          <w:szCs w:val="28"/>
        </w:rPr>
        <w:t>⬤</w:t>
      </w:r>
      <w:r>
        <w:rPr>
          <w:rFonts w:ascii="Times New Roman" w:hAnsi="Times New Roman" w:cs="Times New Roman"/>
          <w:sz w:val="28"/>
          <w:szCs w:val="28"/>
        </w:rPr>
        <w:t xml:space="preserve"> 1. Когда был подписан манифест об отречении от престола? Каковы мотивы отречения Николая  II? 2. Как вы понимаете слова манифеста «о долге совести»? Каким видится царю необходимый в дальнейшем порядок управления страной?</w:t>
      </w:r>
    </w:p>
    <w:p w14:paraId="6A0DE141">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B749F8"/>
    <w:multiLevelType w:val="multilevel"/>
    <w:tmpl w:val="32B749F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686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Office_12.2.0.17545_F1E327BC-269C-435d-A152-05C5408002CA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2024-10-05T03:23:59Z</dcterms:created>
  <dc:creator>Kuzne</dc:creator>
  <cp:lastModifiedBy>Kuzne</cp:lastModifiedBy>
  <dcterms:modified xsi:type="dcterms:W3CDTF">2024-10-05T03:24:28Z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BEC19C80270C4834B7D03939513ABAA4_12</vt:lpwstr>
  </property>
</Properties>
</file>