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17" w:rsidRDefault="00592817" w:rsidP="00592817">
      <w:pPr>
        <w:pStyle w:val="ConsPlusNormal"/>
        <w:ind w:firstLine="540"/>
        <w:jc w:val="both"/>
      </w:pPr>
    </w:p>
    <w:p w:rsidR="00592817" w:rsidRDefault="00592817" w:rsidP="00592817">
      <w:pPr>
        <w:pStyle w:val="ConsPlusNormal"/>
        <w:ind w:firstLine="540"/>
        <w:jc w:val="both"/>
      </w:pPr>
    </w:p>
    <w:p w:rsidR="00BA2F0B" w:rsidRPr="004B0ACD" w:rsidRDefault="00BA2F0B" w:rsidP="00BA2F0B">
      <w:pPr>
        <w:tabs>
          <w:tab w:val="left" w:pos="415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ACD">
        <w:rPr>
          <w:rFonts w:ascii="Times New Roman" w:hAnsi="Times New Roman" w:cs="Times New Roman"/>
          <w:b/>
          <w:bCs/>
          <w:sz w:val="28"/>
          <w:szCs w:val="28"/>
        </w:rPr>
        <w:t>Системы и устройства железнодорож</w:t>
      </w:r>
      <w:bookmarkStart w:id="0" w:name="_GoBack"/>
      <w:bookmarkEnd w:id="0"/>
      <w:r w:rsidRPr="004B0ACD">
        <w:rPr>
          <w:rFonts w:ascii="Times New Roman" w:hAnsi="Times New Roman" w:cs="Times New Roman"/>
          <w:b/>
          <w:bCs/>
          <w:sz w:val="28"/>
          <w:szCs w:val="28"/>
        </w:rPr>
        <w:t>ной автоматики и телемеханики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 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71. Сигнальные приборы железнодорожного транспорта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(далее - сигналы) предназначены для обеспечения безопасности движения и эксплуатации железнодорожного транспорта, для четкой организации движения поездов и маневровой работы.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Требования сигналов являются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обязательными к выполнению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работниками железнодорожного транспорта.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72. На железнодорожном транспорте светофоры и семафоры применяются в качестве постоянных сигнальных устройств, в соответствии с </w:t>
      </w:r>
      <w:hyperlink r:id="rId5" w:anchor="block_11000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приложением N 1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к Правилам.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73. Места установки светофоров определяются комиссией при проектировании систем автоматики и телемеханики, назначаемой владельцем инфраструктуры (владельцем железнодорожных путей необщего пользования), и в условиях эксплуатации должны соответствовать выполненному проекту оборудования перегонов и станций системами железнодорожной автоматики и телемеханики.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noProof/>
        </w:rPr>
      </w:pPr>
      <w:r w:rsidRPr="004B0ACD">
        <w:rPr>
          <w:rFonts w:ascii="Times New Roman" w:hAnsi="Times New Roman" w:cs="Times New Roman"/>
          <w:sz w:val="28"/>
          <w:szCs w:val="28"/>
        </w:rPr>
        <w:t>74. Для красных, желтых и зеленых сигнальных огней входных, предупредительных, проходных, заградительных светофоров и светофоров прикрытия, в соответствии с </w:t>
      </w:r>
      <w:hyperlink r:id="rId6" w:anchor="block_11000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приложением N 1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к Правилам на прямых участках железнодорожного пути общего пользования минимально допустимое расстояние видимости из кабины управления подвижной единицей составляет не менее 1000 м.</w:t>
      </w:r>
      <w:r w:rsidRPr="00AE5FBD">
        <w:rPr>
          <w:noProof/>
        </w:rPr>
        <w:t xml:space="preserve"> 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В кривых участках железнодорожного пути видимость показаний указанных светофоров и сигнальных полос на светофорах должна быть обеспечена на расстоянии не менее 400 м. В исключительных случаях, когда установка повторительных светофоров невозможна по условиям габарита или особенностей местности, допускается сокращение расстояния видимости огней перечисленных светофоров не менее 200 м.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75.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 xml:space="preserve">На железнодорожных путях необщего пользования видимость сигнальных огней светофоров входных, предупредительных, проходных, заградительных и прикрытия на прямых участках железнодорожного пути обеспечивается на расстоянии не менее тормозного пути, определенного для данного места при полном служебном торможении и установленной скорости движения, а сигнализации на железнодорожных путях необщего пользования применяемой для разрешения выезда и въезда железнодорожного подвижного состава в производственное помещение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(далее - въездной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сигнализации) и технологической сигнализации - не менее 50 м.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76. Видимость сигнальных огней выходных и маршрутных светофоров главных железнодорожных путей составляет не менее 400 м, выходных и маршрутных светофоров главных железнодорожных путей в кривых, боковых железнодорожных путей, горочных светофоров, пригласительных сигналов и маневровых светофоров - не менее 200 м, а показания маршрутных указателей - не менее 100 м.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77. Видимость сигнальных огней повторительных светофоров (в совокупности с основным) обеспечивается на расстоянии, установленном требованиями для данного типа светофоров (основного).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78. Видимость огней переездных светофоров на прямых участках автомобильных дорог составляет не менее 100 м, на кривых участках автодорог - не менее 50 м.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noProof/>
        </w:rPr>
      </w:pPr>
    </w:p>
    <w:p w:rsidR="00BA2F0B" w:rsidRDefault="00BA2F0B" w:rsidP="00BA2F0B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8AC86C" wp14:editId="5837AE86">
            <wp:extent cx="5097667" cy="2782956"/>
            <wp:effectExtent l="0" t="0" r="825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795" t="34088" r="12635" b="15023"/>
                    <a:stretch/>
                  </pic:blipFill>
                  <pic:spPr bwMode="auto">
                    <a:xfrm>
                      <a:off x="0" y="0"/>
                      <a:ext cx="5100043" cy="278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F0B" w:rsidRDefault="00BA2F0B" w:rsidP="00BA2F0B">
      <w:pPr>
        <w:spacing w:after="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</w:pP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2F3BF8" wp14:editId="0E1C8B83">
            <wp:extent cx="5033176" cy="1844702"/>
            <wp:effectExtent l="0" t="0" r="0" b="317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301" t="33445" r="10638" b="27759"/>
                    <a:stretch/>
                  </pic:blipFill>
                  <pic:spPr bwMode="auto">
                    <a:xfrm>
                      <a:off x="0" y="0"/>
                      <a:ext cx="5030360" cy="184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20E226" wp14:editId="2090C989">
            <wp:extent cx="5017273" cy="2584173"/>
            <wp:effectExtent l="0" t="0" r="0" b="698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167" t="32609" r="10504" b="13043"/>
                    <a:stretch/>
                  </pic:blipFill>
                  <pic:spPr bwMode="auto">
                    <a:xfrm>
                      <a:off x="0" y="0"/>
                      <a:ext cx="5014464" cy="2582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905ED0" wp14:editId="56924DCB">
            <wp:extent cx="4969565" cy="3093057"/>
            <wp:effectExtent l="0" t="0" r="254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2542" b="12876"/>
                    <a:stretch/>
                  </pic:blipFill>
                  <pic:spPr bwMode="auto">
                    <a:xfrm>
                      <a:off x="0" y="0"/>
                      <a:ext cx="4989581" cy="310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Default="00BA2F0B" w:rsidP="00BA2F0B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11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Видимость светофоров</w:t>
      </w:r>
    </w:p>
    <w:p w:rsidR="00BA2F0B" w:rsidRDefault="00BA2F0B" w:rsidP="00BA2F0B">
      <w:pPr>
        <w:tabs>
          <w:tab w:val="left" w:pos="4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79. В зоне видимости сигналов светофоров не должны находиться объекты и конструкции, в том числе огни всех цветов, мешающие восприятию сигналов и искажающие сигнальные показания.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80. При возникновении неисправности устройств управления светофоры должны автоматически принимать запрещающее показание, а предупредительные светофоры - показание, соответствующее запрещающему показанию связанных с ними основных светофоров.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При автоматической блокировке светофоры должны автоматически принимать запрещающее показание при входе поезда на ограждаемые ими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lastRenderedPageBreak/>
        <w:t>блок-участки</w:t>
      </w:r>
      <w:proofErr w:type="gramEnd"/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или в случае неисправности рельсовых цепей этих участков или других технических средств, применяемых для контроля свободности блок-участка.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На железнодорожных путях необщего пользования при преимущественном движении поездов вагонами вперед должна предусматриваться зависимость, обеспечивающая перекрытие (закрытие) выходного светофора, только после прохода светофора всем составом и локомотивом.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81.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К системам железнодорожной автоматики и телемеханики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относятся: системы интервального регулирования движения поездов, устройства автоматической локомотивной сигнализации и контроля схода подвижного состава, системы электрической централизации стрелок и светофоров, диспетчерской централизации, диспетчерского контроля и диагностики устройств железнодорожной автоматики, устройства механизации и автоматизации сортировочных горок, маневровой автоматической локомотивной сигнализации, переездной и пешеходной сигнализации, ключевой зависимости стрелок и светофоров, системы счета осей.</w:t>
      </w:r>
      <w:proofErr w:type="gramEnd"/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Оборудование перегонов и станций железнодорожных линий данными системами железнодорожной автоматики и телемеханики осуществляется в соответствии с проектом, выполненным на основании исходных данных, представляемых владельцем инфраструктуры (владельцем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Проектируемые системы и устройства железнодорожной автоматики и телемеханики должны соответствовать требованиям безопасности </w:t>
      </w:r>
      <w:hyperlink r:id="rId11" w:anchor="block_3029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статьи 4 пункта 25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ТС 003/2011.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По-видимому, в тексте предыдущего абзаца допущена опечатка. Имеется в виду "</w:t>
      </w:r>
      <w:hyperlink r:id="rId12" w:anchor="block_3029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пункта 29</w:t>
        </w:r>
      </w:hyperlink>
      <w:r w:rsidRPr="004B0ACD">
        <w:rPr>
          <w:rFonts w:ascii="Times New Roman" w:hAnsi="Times New Roman" w:cs="Times New Roman"/>
          <w:sz w:val="28"/>
          <w:szCs w:val="28"/>
        </w:rPr>
        <w:t>"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82. При оборудовании перегонов и станций системами интервального регулирования движением поездов, электрической централизацией стрелок и светофоров предусматриваются устройства для передачи информации о параметрах движения на локомотивные устройства безопасности.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Необходимость применения таких устройств, выбор их типов определяется проектом на основании исходных данных, представляемых владельцем инфраструктуры (владельцем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83. Железнодорожные станции оборудуются устройствами железнодорожной автоматики и телемеханики, оборудование стрелок,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входящих в маршруты приема и отправления поездов, зависимостью с входными, выходными и маршрутными светофорами.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Устройствами электрической централизации в процессе эксплуатации не допускаются (кроме случаев применения ответственных команд):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открытие входного светофора при маршруте, установленном на занятый железнодорожный путь;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перевод стрелки при занятости ее подвижным составом и в случае неисправности технических средств, применяемых для контроля свободности стрелочных путевых участков;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открытие светофоров, соответствующих данному маршруту, если стрелки не поставлены в положение по маршруту или охранное;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перевод входящей в маршрут стрелки или открытия светофора враждебного маршрута при открытом светофоре, ограждающем установленный маршрут.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Устройства автоматической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и полуавтоматической блокировки</w:t>
      </w:r>
      <w:proofErr w:type="gramStart"/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автоматической локомотивной сигнализации, применяемой как самостоятельное средство интервального регулирования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движения поездов, не должны допускать открытие выходного, проходного или локомотивного светофора до освобождения железнодорожным подвижным составом ограждаемого ими блок-участка или межстанционного (межпостового) перегона, а также самопроизвольное закрытие светофора в результате перехода питания с основных на резервные устройства, обеспечивающие электроснабжение железнодорожных потребителей.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После открытия на железнодорожной станции выходного светофора исключается открытие соседней железнодорожной станцией выходных светофоров, проходных светофоров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блок-постов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для отправления поездов на этот же путь перегона в противоположном направлении.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Путевые устройства автоматической локомотивной сигнализации должны обеспечивать передачу на локомотив, мотор-вагонный подвижной состав, специальный самоходный подвижной состав информации о показаниях путевых светофоров, к которым приближается поезд, или информацию о занятости или свободности впереди лежащих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блок-участков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- при движении только по показаниям локомотивных светофоров.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Устройства контроля схода железнодорожного подвижного состава при срабатывании передают информацию о сходе и наличии волочащихся деталей в устройства перегонной и станционной железнодорожной автоматики и телемеханики, машинисту локомотива, мотор-вагонного подвижного состава, специального самоходного подвижного состава. Порядок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 xml:space="preserve">взаимодействия устройств контроля схода железнодорожного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подвижного состава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при срабатывании и устройств железнодорожной автоматики и телемеханики устанавливается технической документацией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84. Схемы расстановки светофоров, таблицы зависимости положения стрелок и сигнальных показаний светофоров в маршрутах на железнодорожных станциях утверждаются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85. При демонтаже или укладке вновь станционных путей, стрелочных переводов, сбрасывающих устройств, элементов путевого развития, а также изменении сигнализации действующих станций вносятся изменения в проектную документацию устройств электрической, диспетчерской централизации, диспетчерского контроля и диагностики.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После проведения строительно-монтажных и пусконаладочных работ по внесению изменений в вышеуказанные устройства производится проверка зависимостей между стрелками, светофорами и маршрутами на соответствие с вновь утвержденными владельцем инфраструктуры (владельцем железнодорожных путей необщего пользования) таблицами зависимости положения стрелок и сигнальных показаний светофоров в маршрутах.</w:t>
      </w:r>
      <w:proofErr w:type="gramEnd"/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86. Объекты инфраструктуры и железнодорожных путей необщего пользования, на которых располагается оборудование железнодорожной автоматики и телемеханики, должны защищаться от помех и опасного влияния тягового тока, линий электропередачи, атмосферных и коммутационных перенапряжений в соответствии с техническими решениями, утверждаемыми порядком, устанавливаемым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87. Перегоны и железнодорожные станции на скоростных и высокоскоростных линиях оборудуются: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автоматической блокировкой или автоматической локомотивной сигнализацией как самостоятельным средством интервального регулирования движения поездов как с фиксированными, так и с изменяемыми от скорости движения поезда ("подвижными") границами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блок-участков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>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автоматической локомотивной сигнализацией непрерывного типа;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электрической централизацией стрелок и светофоров;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устройствами диспетчерской централизации и (или) диспетчерского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движением поездов;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lastRenderedPageBreak/>
        <w:t>системами диагностики и мониторинга устройств железнодорожной автоматики и телемеханики.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На участках, где движение скоростных и высокоскоростных пассажирских поездов осуществляется со скоростью от 160 км/ч и до 250 км/ч включительно, устройства автоблокировки или автоматической локомотивной сигнализации, применяемой как самостоятельное средство интервального регулирования движения поездов</w:t>
      </w:r>
      <w:proofErr w:type="gramStart"/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дополняются устройствами многозначной автоматической локомотивной сигнализации или другими системами обеспечения безопасности движения поездов (в том числе с использованием радиоканала).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На участках, где движение скоростных пассажирских поездов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осуществляется со скоростями не более 160 км/ч разрешается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применять системы автоблокировки с трехзначной или четырехзначной сигнализацией и автоматической локомотивной сигнализацией непрерывного типа.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88. Для пропуска скоростных и высокоскоростных поездов владелец инфраструктуры предусматривает специальный режим работы устройств железнодорожной автоматики и телемеханики (далее - режим скоростного движения), включаемый дежурным по станции или диспетчером поездным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89. Главные пути железнодорожных станций с автономным управлением могут передаваться в порядке, установленном локальным нормативным актом владельца инфраструктуры, на диспетчерское управление средствами диспетчерской централизации для обеспечения установки маршрутов пропуска скоростных и высокоскоростных поездов по главным путям железнодорожных станций в правильном направлении и включения режима скоростного движения.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90. Владелец инфраструктуры (владелец железнодорожных путей необщего пользования) обязан обеспечивать видимость сигнальных показаний светофоров и маршрутных указателей.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Владелец инфраструктуры (владелец железнодорожных путей необщего пользования) не реже одного раза в квартал осуществляет проверку видимости светофоров по главным железнодорожным путям перегонов и железнодорожных станций, работу автоматической локомотивной сигнализации и устройств безопасности, систем автоматического управления торможением поезда, если иное не предусмотрено эксплуатационной документацией.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На малоинтенсивных линиях периодичность проверки видимости светофоров по главным железнодорожным путям перегонов и железнодорожных станций, работы автоматической локомотивной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сигнализации и устройств безопасности, систем автоматического управления торможением поезда устанавливает владелец инфраструктуры.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Порядок проверки видимости светофоров по главным железнодорожным путям перегонов и железнодорожных станций, работы автоматической локомотивной сигнализации и устройств безопасности, систем автоматического управления торможением поезда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91. В условиях эксплуатации стрелочные переводы, приводные и замыкающие устройства стрелок электрической централизации должны: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обеспечивать при крайних положениях стрелок плотное прилегание прижатого остряка к рамному рельсу и подвижного сердечника крестовины к </w:t>
      </w:r>
      <w:proofErr w:type="spellStart"/>
      <w:r w:rsidRPr="004B0ACD">
        <w:rPr>
          <w:rFonts w:ascii="Times New Roman" w:hAnsi="Times New Roman" w:cs="Times New Roman"/>
          <w:sz w:val="28"/>
          <w:szCs w:val="28"/>
        </w:rPr>
        <w:t>усовику</w:t>
      </w:r>
      <w:proofErr w:type="spellEnd"/>
      <w:r w:rsidRPr="004B0ACD">
        <w:rPr>
          <w:rFonts w:ascii="Times New Roman" w:hAnsi="Times New Roman" w:cs="Times New Roman"/>
          <w:sz w:val="28"/>
          <w:szCs w:val="28"/>
        </w:rPr>
        <w:t>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не допускать замыкания остряков стрелки или подвижного сердечника крестовины при закладке между прижатым остряком и рамным рельсом или подвижным сердечником и </w:t>
      </w:r>
      <w:proofErr w:type="spellStart"/>
      <w:r w:rsidRPr="004B0ACD">
        <w:rPr>
          <w:rFonts w:ascii="Times New Roman" w:hAnsi="Times New Roman" w:cs="Times New Roman"/>
          <w:sz w:val="28"/>
          <w:szCs w:val="28"/>
        </w:rPr>
        <w:t>усовиком</w:t>
      </w:r>
      <w:proofErr w:type="spellEnd"/>
      <w:r w:rsidRPr="004B0ACD">
        <w:rPr>
          <w:rFonts w:ascii="Times New Roman" w:hAnsi="Times New Roman" w:cs="Times New Roman"/>
          <w:sz w:val="28"/>
          <w:szCs w:val="28"/>
        </w:rPr>
        <w:t xml:space="preserve"> шаблона толщиной 4 мм и более;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обеспечивать отвод другого остряка от рамного рельса на расстояние не менее 125 мм.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92. Стрелочные контрольные замки, обеспечивающие в устройствах ключевой зависимости взаимное замыкание стрелок и сигналов, в условиях эксплуатации должны: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допускать извлечение ключа только при запертой стрелке;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запирать стрелки только в положении, указанном на вынутом из замка ключе, при условии плотного прилегания остряка к рамному рельсу;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 допускать возможности запирания стрелки при закладке между прижатым остряком и рамным рельсом шаблона толщиной 4 мм и более.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 допускается применение стрелочных контрольных замков одной и той же серии в пределах одной железнодорожной станции, а на крупных железнодорожных станциях - в пределах одной группы смежных стрелочных постов, находящихся под контролем одного старшего дежурного стрелочного поста (далее - стрелочного района) и смежных с ним стрелочных постов других районов.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93. На железнодорожных путях необщего пользования могут применяться устройства въездной (выездной) и технологической сигнализации, при которых управление сигнализацией производится уполномоченным лицом. Эти устройства могут также иметь взаимозависимость с устройствами электрической централизации при наличии их на железнодорожных путях, непосредственно примыкающих к технологическим объектам или производственным помещениям и должны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обеспечивать безопасность подачи, уборки вагонов к местам производства погрузочно-выгрузочных операций.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Порядок управления устройствами сигнализации, обеспечивающий безопасность движения при передвижении (подаче) вагонов, устанавливается локальным нормативным актом владельца железнодорожных путей необщего пользования.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94. Содержание поверхностей катания колесных пар подвижного состава, поверхностей катания головок рельсов и элементов стрелочных переводов, рельсовых соединителей, элементов обратной тяговой сети, а также регулировка аппаратуры рельсовых цепей осуществляется таким образом, чтобы в условиях эксплуатации обеспечивалась надежная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работа электрических рельсовых цепей по фиксации занятости участков пути подвижным составом. Технология, порядок обслуживания и технические параметры содержания вышеуказанных элементов подвижного состава и инфраструктуры для обеспечения надежной работы рельсовых цепей утверждаются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95. Аппараты управления релейных и электромеханических систем железнодорожной автоматики и телемеханики, обеспечивающих зависимости, содержатся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и опломбированными. Перечень видов пломбируемых устройств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96. Вскрытие опломбированных аппаратов управления систем железнодорожной автоматики и телемеханики производится только уполномоченными лицами владельца инфраструктуры (владельца железнодорожных путей необщего пользования) с предварительной записью в журнале осмотра этих устройств. Контроль сохранности целостности пломб на аппаратах устройств автоматики и телемеханики осуществляется уполномоченными работниками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97. Порядок ведения технической документации устройств железнодорожной автоматики и телемеханики, внесения в нее изменений, применения специализированных автоматизированных систем для разработки, хранения и актуализации технической документации устанавливается локальным нормативным актом владельца инфраструктуры (владельца железнодорожных путей необщего пользования).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98. Владелец инфраструктуры (владелец железнодорожных путей необщего пользования) локальным нормативным актом устанавливает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порядок утверждения технических решений (в том числе типовых) по оборудованию устройствами сигнализации, централизации и блокировки.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99. Владелец инфраструктуры (владелец железнодорожных путей необщего пользования) на основании технической документации изготовителей (разработчиков) устройств железнодорожной автоматики и телемеханики устанавливает локальным нормативным актом назначенный срок службы принадлежащих им объектов железнодорожной автоматики и телемеханики и порядок его продления.</w:t>
      </w:r>
    </w:p>
    <w:p w:rsidR="00BA2F0B" w:rsidRPr="004B0ACD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100. Порядок действий при выключении и включении устройств железнодорожной автоматики и телемеханики, устройств механизации и автоматизации сортировочных горок при их неисправности, осмотре и ремонте устанавливается локальным нормативным актом владельца инфраструктуры (владельца железнодорожных путей необщего пользования) с соблюдением требований Правил.</w:t>
      </w:r>
    </w:p>
    <w:p w:rsidR="00BA2F0B" w:rsidRDefault="00BA2F0B" w:rsidP="00BA2F0B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101. Временные изменения зависимостей устройств железнодорожной автоматики и телемеханики осуществляют в порядке, установленном локальным нормативным актом владельца инфраструктуры (владельца железнодорожных путей необщего пользования).</w:t>
      </w:r>
    </w:p>
    <w:p w:rsidR="00FC2223" w:rsidRPr="00592817" w:rsidRDefault="00FC2223" w:rsidP="00592817"/>
    <w:sectPr w:rsidR="00FC2223" w:rsidRPr="00592817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2222D"/>
    <w:rsid w:val="00090D3A"/>
    <w:rsid w:val="000A757C"/>
    <w:rsid w:val="00121266"/>
    <w:rsid w:val="001608E7"/>
    <w:rsid w:val="00243F82"/>
    <w:rsid w:val="00340668"/>
    <w:rsid w:val="003F3C93"/>
    <w:rsid w:val="00481147"/>
    <w:rsid w:val="00515B6A"/>
    <w:rsid w:val="00592817"/>
    <w:rsid w:val="00617EDA"/>
    <w:rsid w:val="006628FC"/>
    <w:rsid w:val="00737A57"/>
    <w:rsid w:val="00760E23"/>
    <w:rsid w:val="00A500D7"/>
    <w:rsid w:val="00B1666F"/>
    <w:rsid w:val="00B7088B"/>
    <w:rsid w:val="00BA2F0B"/>
    <w:rsid w:val="00CC0162"/>
    <w:rsid w:val="00D02B92"/>
    <w:rsid w:val="00E873AE"/>
    <w:rsid w:val="00F13754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B6A"/>
    <w:rPr>
      <w:rFonts w:ascii="Tahoma" w:hAnsi="Tahoma" w:cs="Tahoma"/>
      <w:sz w:val="16"/>
      <w:szCs w:val="16"/>
    </w:rPr>
  </w:style>
  <w:style w:type="paragraph" w:customStyle="1" w:styleId="pcenter">
    <w:name w:val="pcenter"/>
    <w:basedOn w:val="a"/>
    <w:rsid w:val="00BA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BA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A2F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base.garant.ru/1218849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405042985/8ba4c8aba5958e0331609d6c2e7fb6c5/" TargetMode="External"/><Relationship Id="rId11" Type="http://schemas.openxmlformats.org/officeDocument/2006/relationships/hyperlink" Target="https://base.garant.ru/12188499/" TargetMode="External"/><Relationship Id="rId5" Type="http://schemas.openxmlformats.org/officeDocument/2006/relationships/hyperlink" Target="https://base.garant.ru/405042985/8ba4c8aba5958e0331609d6c2e7fb6c5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2778</Words>
  <Characters>15835</Characters>
  <Application>Microsoft Office Word</Application>
  <DocSecurity>0</DocSecurity>
  <Lines>131</Lines>
  <Paragraphs>37</Paragraphs>
  <ScaleCrop>false</ScaleCrop>
  <Company/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17</cp:revision>
  <dcterms:created xsi:type="dcterms:W3CDTF">2020-09-02T04:13:00Z</dcterms:created>
  <dcterms:modified xsi:type="dcterms:W3CDTF">2024-09-19T04:24:00Z</dcterms:modified>
</cp:coreProperties>
</file>