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912FA" w14:textId="77777777" w:rsidR="00E61411" w:rsidRPr="004B0ACD" w:rsidRDefault="00E61411" w:rsidP="00E61411">
      <w:pPr>
        <w:tabs>
          <w:tab w:val="left" w:pos="415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0ACD">
        <w:rPr>
          <w:rFonts w:ascii="Times New Roman" w:hAnsi="Times New Roman" w:cs="Times New Roman"/>
          <w:b/>
          <w:bCs/>
          <w:sz w:val="28"/>
          <w:szCs w:val="28"/>
        </w:rPr>
        <w:t>Системы и устройства железнодорожной автоматики и телемеханики</w:t>
      </w:r>
    </w:p>
    <w:p w14:paraId="5E69BB4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 </w:t>
      </w:r>
    </w:p>
    <w:p w14:paraId="1941ED4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71. Сигнальные приборы железнодорожного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транспорта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(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>далее - сигналы) предназначены для обеспечения безопасности движения и эксплуатации железнодорожного транспорта, для четкой организации движения поездов и маневровой работы.</w:t>
      </w:r>
    </w:p>
    <w:p w14:paraId="1137B061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Требования сигналов являются обязательными к выполнению работниками железнодорожного транспорта.</w:t>
      </w:r>
    </w:p>
    <w:p w14:paraId="207643F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72. На железнодорожном транспорте светофоры и семафоры применяются в качестве постоянных сигнальных устройств, в соответствии с </w:t>
      </w:r>
      <w:hyperlink r:id="rId4" w:anchor="block_11000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приложением N 1</w:t>
        </w:r>
      </w:hyperlink>
      <w:r w:rsidRPr="004B0ACD">
        <w:rPr>
          <w:rFonts w:ascii="Times New Roman" w:hAnsi="Times New Roman" w:cs="Times New Roman"/>
          <w:sz w:val="28"/>
          <w:szCs w:val="28"/>
        </w:rPr>
        <w:t> к Правилам.</w:t>
      </w:r>
    </w:p>
    <w:p w14:paraId="7419520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73. Места установки светофоров определяются комиссией при проектировании систем автоматики и телемеханики, назначаемой владельцем инфраструктуры (владельцем железнодорожных путей необщего пользования), и в условиях эксплуатации должны соответствовать выполненному проекту оборудования перегонов и станций системами железнодорожной автоматики и телемеханики.</w:t>
      </w:r>
    </w:p>
    <w:p w14:paraId="0A6DFDAB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noProof/>
        </w:rPr>
      </w:pPr>
      <w:r w:rsidRPr="004B0ACD">
        <w:rPr>
          <w:rFonts w:ascii="Times New Roman" w:hAnsi="Times New Roman" w:cs="Times New Roman"/>
          <w:sz w:val="28"/>
          <w:szCs w:val="28"/>
        </w:rPr>
        <w:t>74. Для красных, желтых и зеленых сигнальных огней входных, предупредительных, проходных, заградительных светофоров и светофоров прикрытия, в соответствии с </w:t>
      </w:r>
      <w:hyperlink r:id="rId5" w:anchor="block_11000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приложением N 1</w:t>
        </w:r>
      </w:hyperlink>
      <w:r w:rsidRPr="004B0ACD">
        <w:rPr>
          <w:rFonts w:ascii="Times New Roman" w:hAnsi="Times New Roman" w:cs="Times New Roman"/>
          <w:sz w:val="28"/>
          <w:szCs w:val="28"/>
        </w:rPr>
        <w:t> к Правилам на прямых участках железнодорожного пути общего пользования минимально допустимое расстояние видимости из кабины управления подвижной единицей составляет не менее 1000 м.</w:t>
      </w:r>
      <w:r w:rsidRPr="00AE5FBD">
        <w:rPr>
          <w:noProof/>
        </w:rPr>
        <w:t xml:space="preserve"> </w:t>
      </w:r>
    </w:p>
    <w:p w14:paraId="38A9321C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В кривых участках железнодорожного пути видимость показаний указанных светофоров и сигнальных полос на светофорах должна быть обеспечена на расстоянии не менее 400 м. В исключительных случаях, когда установка повторительных светофоров невозможна по условиям габарита или особенностей местности, допускается сокращение расстояния видимости огней перечисленных светофоров не менее 200 м.</w:t>
      </w:r>
    </w:p>
    <w:p w14:paraId="4DF41D5C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75. На железнодорожных путях необщего пользования видимость сигнальных огней светофоров входных, предупредительных, проходных, заградительных и прикрытия на прямых участках железнодорожного пути обеспечивается на расстоянии не менее тормозного пути, определенного для данного места при полном служебном торможении и установленной скорости движения, а сигнализации на железнодорожных путях необщего пользования применяемой для разрешения выезда и въезда железнодорожного подвижного состава в производственное помещение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(далее - въездной сигнализации) и технологической сигнализации - не менее 50 м.</w:t>
      </w:r>
    </w:p>
    <w:p w14:paraId="29172D50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76. Видимость сигнальных огней выходных и маршрутных светофоров главных железнодорожных путей составляет не менее 400 м, выходных и маршрутных светофоров главных железнодорожных путей в кривых, боковых железнодорожных путей, горочных светофоров, пригласительных сигналов и маневровых светофоров - не менее 200 м, а показания маршрутных указателей - не менее 100 м.</w:t>
      </w:r>
    </w:p>
    <w:p w14:paraId="7932163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77. Видимость сигнальных огней повторительных светофоров (в совокупности с основным) обеспечивается на расстоянии, установленном требованиями для данного типа светофоров (основного).</w:t>
      </w:r>
    </w:p>
    <w:p w14:paraId="118A8EF4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78. Видимость огней переездных светофоров на прямых участках автомобильных дорог составляет не менее 100 м, на кривых участках автодорог - не менее 50 м.</w:t>
      </w:r>
    </w:p>
    <w:p w14:paraId="0B9AD3D3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noProof/>
        </w:rPr>
      </w:pPr>
    </w:p>
    <w:p w14:paraId="4DBD0D6F" w14:textId="77777777" w:rsidR="00E61411" w:rsidRDefault="00E61411" w:rsidP="00E61411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7884CC" wp14:editId="078B3D09">
            <wp:extent cx="5097667" cy="2782956"/>
            <wp:effectExtent l="0" t="0" r="825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795" t="34088" r="12635" b="15023"/>
                    <a:stretch/>
                  </pic:blipFill>
                  <pic:spPr bwMode="auto">
                    <a:xfrm>
                      <a:off x="0" y="0"/>
                      <a:ext cx="5100043" cy="2784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9359C" w14:textId="77777777" w:rsidR="00E61411" w:rsidRDefault="00E61411" w:rsidP="00E61411">
      <w:pPr>
        <w:spacing w:after="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</w:pPr>
    </w:p>
    <w:p w14:paraId="244A9D2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BC831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BBF6A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3B13B38" wp14:editId="4139941F">
            <wp:extent cx="5033176" cy="1844702"/>
            <wp:effectExtent l="0" t="0" r="0" b="3175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301" t="33445" r="10638" b="27759"/>
                    <a:stretch/>
                  </pic:blipFill>
                  <pic:spPr bwMode="auto">
                    <a:xfrm>
                      <a:off x="0" y="0"/>
                      <a:ext cx="5030360" cy="184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F1A833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CE9666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8F43101" wp14:editId="2B08DD50">
            <wp:extent cx="5017273" cy="2584173"/>
            <wp:effectExtent l="0" t="0" r="0" b="6985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167" t="32609" r="10504" b="13043"/>
                    <a:stretch/>
                  </pic:blipFill>
                  <pic:spPr bwMode="auto">
                    <a:xfrm>
                      <a:off x="0" y="0"/>
                      <a:ext cx="5014464" cy="2582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CBA38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30D727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E1F19C3" wp14:editId="5A2BFD31">
            <wp:extent cx="4969565" cy="3093057"/>
            <wp:effectExtent l="0" t="0" r="254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2542" b="12876"/>
                    <a:stretch/>
                  </pic:blipFill>
                  <pic:spPr bwMode="auto">
                    <a:xfrm>
                      <a:off x="0" y="0"/>
                      <a:ext cx="4989581" cy="3105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BAC0B9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802C9C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3C275F" w14:textId="77777777" w:rsidR="00E61411" w:rsidRDefault="00E61411" w:rsidP="00E61411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>Рис. 11</w:t>
      </w:r>
      <w:r w:rsidRPr="00A21055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EFEFF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Видимость светофоров</w:t>
      </w:r>
    </w:p>
    <w:p w14:paraId="71BF6B62" w14:textId="77777777" w:rsidR="00E61411" w:rsidRDefault="00E61411" w:rsidP="00E61411">
      <w:pPr>
        <w:tabs>
          <w:tab w:val="left" w:pos="41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8782D0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79. В зоне видимости сигналов светофоров не должны находиться объекты и конструкции, в том числе огни всех цветов, мешающие восприятию сигналов и искажающие сигнальные показания.</w:t>
      </w:r>
    </w:p>
    <w:p w14:paraId="04B25B47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80. При возникновении неисправности устройств управления светофоры должны автоматически принимать запрещающее показание, а предупредительные светофоры - показание, соответствующее запрещающему показанию связанных с ними основных светофоров.</w:t>
      </w:r>
    </w:p>
    <w:p w14:paraId="496473FB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При автоматической блокировке светофоры должны автоматически принимать запрещающее показание при входе поезда на ограждаемые ими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блок-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участки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или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в случае неисправности рельсовых цепей этих участков или других технических средств, применяемых для контроля свободности блок-участка.</w:t>
      </w:r>
    </w:p>
    <w:p w14:paraId="2DC23F1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На железнодорожных путях необщего пользования при преимущественном движении поездов вагонами вперед должна предусматриваться зависимость, обеспечивающая перекрытие (закрытие) выходного светофора, только после прохода светофора всем составом и локомотивом.</w:t>
      </w:r>
    </w:p>
    <w:p w14:paraId="0FFA7C0B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81. К системам железнодорожной автоматики и телемеханики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относятся: системы интервального регулирования движения поездов, устройства автоматической локомотивной сигнализации и контроля схода подвижного состава, системы электрической централизации стрелок и светофоров, диспетчерской централизации, диспетчерского контроля и диагностики устройств железнодорожной автоматики, устройства механизации и автоматизации сортировочных горок, маневровой автоматической локомотивной сигнализации, переездной и пешеходной сигнализации, ключевой зависимости стрелок и светофоров, системы счета осей.</w:t>
      </w:r>
    </w:p>
    <w:p w14:paraId="1775780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Оборудование перегонов и станций железнодорожных линий данными системами железнодорожной автоматики и телемеханики осуществляется в соответствии с проектом, выполненным на основании исходных данных, представляемых владельцем инфраструктуры (владельцем железнодорожных путей необщего пользования).</w:t>
      </w:r>
    </w:p>
    <w:p w14:paraId="108B848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Проектируемые системы и устройства железнодорожной автоматики и телемеханики должны соответствовать требованиям безопасности </w:t>
      </w:r>
      <w:hyperlink r:id="rId10" w:anchor="block_3029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статьи 4 пункта 25</w:t>
        </w:r>
      </w:hyperlink>
      <w:r w:rsidRPr="004B0ACD">
        <w:rPr>
          <w:rFonts w:ascii="Times New Roman" w:hAnsi="Times New Roman" w:cs="Times New Roman"/>
          <w:sz w:val="28"/>
          <w:szCs w:val="28"/>
        </w:rPr>
        <w:t> ТР ТС 003/2011.</w:t>
      </w:r>
    </w:p>
    <w:p w14:paraId="536922C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По-видимому, в тексте предыдущего абзаца допущена опечатка. Имеется в виду "</w:t>
      </w:r>
      <w:hyperlink r:id="rId11" w:anchor="block_3029" w:history="1">
        <w:r w:rsidRPr="004B0ACD">
          <w:rPr>
            <w:rStyle w:val="a5"/>
            <w:rFonts w:ascii="Times New Roman" w:hAnsi="Times New Roman" w:cs="Times New Roman"/>
            <w:sz w:val="28"/>
            <w:szCs w:val="28"/>
          </w:rPr>
          <w:t>пункта 29</w:t>
        </w:r>
      </w:hyperlink>
      <w:r w:rsidRPr="004B0ACD">
        <w:rPr>
          <w:rFonts w:ascii="Times New Roman" w:hAnsi="Times New Roman" w:cs="Times New Roman"/>
          <w:sz w:val="28"/>
          <w:szCs w:val="28"/>
        </w:rPr>
        <w:t>"</w:t>
      </w:r>
    </w:p>
    <w:p w14:paraId="03677141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82. При оборудовании перегонов и станций системами интервального регулирования движением поездов, электрической централизацией стрелок и светофоров предусматриваются устройства для передачи информации о параметрах движения на локомотивные устройства безопасности.</w:t>
      </w:r>
    </w:p>
    <w:p w14:paraId="327078F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Необходимость применения таких устройств, выбор их типов определяется проектом на основании исходных данных, представляемых владельцем инфраструктуры (владельцем железнодорожных путей необщего пользования).</w:t>
      </w:r>
    </w:p>
    <w:p w14:paraId="1FDE92D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83. Железнодорожные станции оборудуются устройствами железнодорожной автоматики и телемеханики, оборудование стрелок,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входящих в маршруты приема и отправления поездов, зависимостью с входными, выходными и маршрутными светофорами.</w:t>
      </w:r>
    </w:p>
    <w:p w14:paraId="38B3675E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Устройствами электрической централизации в процессе эксплуатации не допускаются (кроме случаев применения ответственных команд):</w:t>
      </w:r>
    </w:p>
    <w:p w14:paraId="55915C4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открытие входного светофора при маршруте, установленном на занятый железнодорожный путь;</w:t>
      </w:r>
    </w:p>
    <w:p w14:paraId="448D4B6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перевод стрелки при занятости ее подвижным составом и в случае неисправности технических средств, применяемых для контроля свободности стрелочных путевых участков;</w:t>
      </w:r>
    </w:p>
    <w:p w14:paraId="7B91CEA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открытие светофоров, соответствующих данному маршруту, если стрелки не поставлены в положение по маршруту или охранное;</w:t>
      </w:r>
    </w:p>
    <w:p w14:paraId="23B1FDFE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перевод входящей в маршрут стрелки или открытия светофора враждебного маршрута при открытом светофоре, ограждающем установленный маршрут.</w:t>
      </w:r>
    </w:p>
    <w:p w14:paraId="7E69AF9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Устройства автоматической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и полуавтоматической блокировки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, автоматической локомотивной сигнализации, применяемой как самостоятельное средство интервального регулирования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движения поездов, не должны допускать открытие выходного, проходного или локомотивного светофора до освобождения железнодорожным подвижным составом ограждаемого ими блок-участка или межстанционного (межпостового) перегона, а также самопроизвольное закрытие светофора в результате перехода питания с основных на резервные устройства, обеспечивающие электроснабжение железнодорожных потребителей.</w:t>
      </w:r>
    </w:p>
    <w:p w14:paraId="37824E8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После открытия на железнодорожной станции выходного светофора исключается открытие соседней железнодорожной станцией выходных светофоров, проходных светофоров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блок-постов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для отправления поездов на этот же путь перегона в противоположном направлении.</w:t>
      </w:r>
    </w:p>
    <w:p w14:paraId="1D0AA779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Путевые устройства автоматической локомотивной сигнализации должны обеспечивать передачу на локомотив, мотор-вагонный подвижной состав, специальный самоходный подвижной состав информации о показаниях путевых светофоров, к которым приближается поезд, или информацию о занятости или свободности впереди лежащих блок-участков - при движении только по показаниям локомотивных светофоров.</w:t>
      </w:r>
    </w:p>
    <w:p w14:paraId="3CC7830E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Устройства контроля схода железнодорожного подвижного состава при срабатывании передают информацию о сходе и наличии волочащихся деталей в устройства перегонной и станционной железнодорожной автоматики и телемеханики, машинисту локомотива, мотор-вагонного подвижного состава, специального самоходного подвижного состава. Порядок взаимодействия устройств контроля схода железнодорожного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подвижного состава при срабатывании и устройств железнодорожной автоматики и телемеханики устанавливается технической документацией владельца инфраструктуры (владельца железнодорожных путей необщего пользования).</w:t>
      </w:r>
    </w:p>
    <w:p w14:paraId="4CFB8F7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84. Схемы расстановки светофоров, таблицы зависимости положения стрелок и сигнальных показаний светофоров в маршрутах на железнодорожных станциях утверждаются локальным нормативным актом владельца инфраструктуры (владельца железнодорожных путей необщего пользования).</w:t>
      </w:r>
    </w:p>
    <w:p w14:paraId="69BBD13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85. При демонтаже или укладке вновь станционных путей, стрелочных переводов, сбрасывающих устройств, элементов путевого развития, а также изменении сигнализации действующих станций вносятся изменения в проектную документацию устройств электрической, диспетчерской централизации, диспетчерского контроля и диагностики. После проведения строительно-монтажных и пусконаладочных работ по внесению изменений в вышеуказанные устройства производится проверка зависимостей между стрелками, светофорами и маршрутами на соответствие с вновь утвержденными владельцем инфраструктуры (владельцем железнодорожных путей необщего пользования) таблицами зависимости положения стрелок и сигнальных показаний светофоров в маршрутах.</w:t>
      </w:r>
    </w:p>
    <w:p w14:paraId="65556CDD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86. Объекты инфраструктуры и железнодорожных путей необщего пользования, на которых располагается оборудование железнодорожной автоматики и телемеханики, должны защищаться от помех и опасного влияния тягового тока, линий электропередачи, атмосферных и коммутационных перенапряжений в соответствии с техническими решениями, утверждаемыми порядком, устанавливаемым локальным нормативным актом владельца инфраструктуры (владельца железнодорожных путей необщего пользования).</w:t>
      </w:r>
    </w:p>
    <w:p w14:paraId="193E443D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87. Перегоны и железнодорожные станции на скоростных и высокоскоростных линиях оборудуются:</w:t>
      </w:r>
    </w:p>
    <w:p w14:paraId="04CC857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автоматической блокировкой или автоматической локомотивной сигнализацией как самостоятельным средством интервального регулирования движения поездов как с фиксированными, так и с изменяемыми от скорости движения поезда ("подвижными") границами блок-участков;</w:t>
      </w:r>
    </w:p>
    <w:p w14:paraId="352A087E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автоматической локомотивной сигнализацией непрерывного типа;</w:t>
      </w:r>
    </w:p>
    <w:p w14:paraId="28949BD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электрической централизацией стрелок и светофоров;</w:t>
      </w:r>
    </w:p>
    <w:p w14:paraId="682A9D2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устройствами диспетчерской централизации и (или) диспетчерского контроля за движением поездов;</w:t>
      </w:r>
    </w:p>
    <w:p w14:paraId="45DBE784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lastRenderedPageBreak/>
        <w:t>системами диагностики и мониторинга устройств железнодорожной автоматики и телемеханики.</w:t>
      </w:r>
    </w:p>
    <w:p w14:paraId="204D8095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На участках, где движение скоростных и высокоскоростных пассажирских поездов осуществляется со скоростью от 160 км/ч и до 250 км/ч включительно, устройства автоблокировки или автоматической локомотивной сигнализации, применяемой как самостоятельное средство интервального регулирования движения поездов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, дополняются устройствами многозначной автоматической локомотивной сигнализации или другими системами обеспечения безопасности движения поездов (в том числе с использованием радиоканала).</w:t>
      </w:r>
    </w:p>
    <w:p w14:paraId="584A8E7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На участках, где движение скоростных пассажирских поездов осуществляется со скоростями не более 160 км/ч разрешается применять системы автоблокировки с трехзначной или четырехзначной сигнализацией и автоматической локомотивной сигнализацией непрерывного типа.</w:t>
      </w:r>
    </w:p>
    <w:p w14:paraId="3F498B15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88. Для пропуска скоростных и высокоскоростных поездов владелец инфраструктуры предусматривает специальный режим работы устройств железнодорожной автоматики и телемеханики (далее - режим скоростного движения), включаемый дежурным по станции или диспетчером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поездным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3698285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89. Главные пути железнодорожных станций с автономным управлением могут передаваться в порядке, установленном локальным нормативным актом владельца инфраструктуры, на диспетчерское управление средствами диспетчерской централизации для обеспечения установки маршрутов пропуска скоростных и высокоскоростных поездов по главным путям железнодорожных станций в правильном направлении и включения режима скоростного движения.</w:t>
      </w:r>
    </w:p>
    <w:p w14:paraId="01C0CC49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90. Владелец инфраструктуры (владелец железнодорожных путей необщего пользования) обязан обеспечивать видимость сигнальных показаний светофоров и маршрутных указателей.</w:t>
      </w:r>
    </w:p>
    <w:p w14:paraId="5C69C730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Владелец инфраструктуры (владелец железнодорожных путей необщего пользования) не реже одного раза в квартал осуществляет проверку видимости светофоров по главным железнодорожным путям перегонов и железнодорожных станций, работу автоматической локомотивной сигнализации и устройств безопасности, систем автоматического управления торможением поезда, если иное не предусмотрено эксплуатационной документацией.</w:t>
      </w:r>
    </w:p>
    <w:p w14:paraId="610B5EE5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На малоинтенсивных линиях периодичность проверки видимости светофоров по главным железнодорожным путям перегонов и железнодорожных станций, работы автоматической локомотивной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сигнализации и устройств безопасности, систем автоматического управления торможением поезда устанавливает владелец инфраструктуры.</w:t>
      </w:r>
    </w:p>
    <w:p w14:paraId="0C445B99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Порядок проверки видимости светофоров по главным железнодорожным путям перегонов и железнодорожных станций, работы автоматической локомотивной сигнализации и устройств безопасности, систем автоматического управления торможением поезда устанавливается локальным нормативным актом владельца инфраструктуры (владельца железнодорожных путей необщего пользования).</w:t>
      </w:r>
    </w:p>
    <w:p w14:paraId="357ABF5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91. В условиях эксплуатации стрелочные переводы, приводные и замыкающие устройства стрелок электрической централизации должны:</w:t>
      </w:r>
    </w:p>
    <w:p w14:paraId="410B66BD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обеспечивать при крайних положениях стрелок плотное прилегание прижатого остряка к рамному рельсу и подвижного сердечника крестовины к </w:t>
      </w:r>
      <w:proofErr w:type="spellStart"/>
      <w:r w:rsidRPr="004B0ACD">
        <w:rPr>
          <w:rFonts w:ascii="Times New Roman" w:hAnsi="Times New Roman" w:cs="Times New Roman"/>
          <w:sz w:val="28"/>
          <w:szCs w:val="28"/>
        </w:rPr>
        <w:t>усовику</w:t>
      </w:r>
      <w:proofErr w:type="spellEnd"/>
      <w:r w:rsidRPr="004B0ACD">
        <w:rPr>
          <w:rFonts w:ascii="Times New Roman" w:hAnsi="Times New Roman" w:cs="Times New Roman"/>
          <w:sz w:val="28"/>
          <w:szCs w:val="28"/>
        </w:rPr>
        <w:t>;</w:t>
      </w:r>
    </w:p>
    <w:p w14:paraId="6D713D5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не допускать замыкания остряков стрелки или подвижного сердечника крестовины при закладке между прижатым остряком и рамным рельсом или подвижным сердечником и </w:t>
      </w:r>
      <w:proofErr w:type="spellStart"/>
      <w:r w:rsidRPr="004B0ACD">
        <w:rPr>
          <w:rFonts w:ascii="Times New Roman" w:hAnsi="Times New Roman" w:cs="Times New Roman"/>
          <w:sz w:val="28"/>
          <w:szCs w:val="28"/>
        </w:rPr>
        <w:t>усовиком</w:t>
      </w:r>
      <w:proofErr w:type="spellEnd"/>
      <w:r w:rsidRPr="004B0ACD">
        <w:rPr>
          <w:rFonts w:ascii="Times New Roman" w:hAnsi="Times New Roman" w:cs="Times New Roman"/>
          <w:sz w:val="28"/>
          <w:szCs w:val="28"/>
        </w:rPr>
        <w:t xml:space="preserve"> шаблона толщиной 4 мм и более;</w:t>
      </w:r>
    </w:p>
    <w:p w14:paraId="2C4B4D4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обеспечивать отвод другого остряка от рамного рельса на расстояние не менее 125 мм.</w:t>
      </w:r>
    </w:p>
    <w:p w14:paraId="5FDFB33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92. Стрелочные контрольные замки, обеспечивающие в устройствах ключевой зависимости взаимное замыкание стрелок и сигналов, в условиях эксплуатации должны:</w:t>
      </w:r>
    </w:p>
    <w:p w14:paraId="23EB47C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допускать извлечение ключа только при запертой стрелке;</w:t>
      </w:r>
    </w:p>
    <w:p w14:paraId="142E8939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запирать стрелки только в положении, указанном на вынутом из замка ключе, при условии плотного прилегания остряка к рамному рельсу;</w:t>
      </w:r>
    </w:p>
    <w:p w14:paraId="58530BF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не допускать возможности запирания стрелки при закладке между прижатым остряком и рамным рельсом шаблона толщиной 4 мм и более.</w:t>
      </w:r>
    </w:p>
    <w:p w14:paraId="04FE449E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Не допускается применение стрелочных контрольных замков одной и той же серии в пределах одной железнодорожной станции, а на крупных железнодорожных станциях - в пределах одной группы смежных стрелочных постов, находящихся под контролем одного старшего дежурного стрелочного поста (далее - стрелочного района) и смежных с ним стрелочных постов других районов.</w:t>
      </w:r>
    </w:p>
    <w:p w14:paraId="299B24FC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93. На железнодорожных путях необщего пользования могут применяться устройства въездной (выездной) и технологической сигнализации, при которых управление сигнализацией производится уполномоченным лицом. Эти устройства могут также иметь взаимозависимость с устройствами электрической централизации при наличии их на железнодорожных путях, непосредственно примыкающих к технологическим объектам или производственным помещениям и должны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обеспечивать безопасность подачи, уборки вагонов к местам производства погрузочно-выгрузочных операций.</w:t>
      </w:r>
    </w:p>
    <w:p w14:paraId="3FE6AB3E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Порядок управления устройствами сигнализации, обеспечивающий безопасность движения при передвижении (подаче) вагонов, устанавливается локальным нормативным актом владельца железнодорожных путей необщего пользования.</w:t>
      </w:r>
    </w:p>
    <w:p w14:paraId="0F443F3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94. Содержание поверхностей катания колесных пар подвижного состава, поверхностей катания головок рельсов и элементов стрелочных переводов, рельсовых соединителей, элементов обратной тяговой сети, а также регулировка аппаратуры рельсовых цепей осуществляется таким образом, чтобы в условиях эксплуатации обеспечивалась </w:t>
      </w:r>
      <w:proofErr w:type="gramStart"/>
      <w:r w:rsidRPr="004B0ACD">
        <w:rPr>
          <w:rFonts w:ascii="Times New Roman" w:hAnsi="Times New Roman" w:cs="Times New Roman"/>
          <w:sz w:val="28"/>
          <w:szCs w:val="28"/>
        </w:rPr>
        <w:t>надежная</w:t>
      </w:r>
      <w:r w:rsidRPr="004B0ACD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4B0ACD">
        <w:rPr>
          <w:rFonts w:ascii="Times New Roman" w:hAnsi="Times New Roman" w:cs="Times New Roman"/>
          <w:sz w:val="28"/>
          <w:szCs w:val="28"/>
        </w:rPr>
        <w:t> работа</w:t>
      </w:r>
      <w:proofErr w:type="gramEnd"/>
      <w:r w:rsidRPr="004B0ACD">
        <w:rPr>
          <w:rFonts w:ascii="Times New Roman" w:hAnsi="Times New Roman" w:cs="Times New Roman"/>
          <w:sz w:val="28"/>
          <w:szCs w:val="28"/>
        </w:rPr>
        <w:t xml:space="preserve"> электрических рельсовых цепей по фиксации занятости участков пути подвижным составом. Технология, порядок обслуживания и технические параметры содержания вышеуказанных элементов подвижного состава и инфраструктуры для обеспечения надежной работы рельсовых цепей утверждаются локальным нормативным актом владельца инфраструктуры (владельца железнодорожных путей необщего пользования).</w:t>
      </w:r>
    </w:p>
    <w:p w14:paraId="483AFF92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95. Аппараты управления релейных и электромеханических систем железнодорожной автоматики и телемеханики, обеспечивающих зависимости, содержатся закрытыми и опломбированными. Перечень видов пломбируемых устройств устанавливается локальным нормативным актом владельца инфраструктуры (владельца железнодорожных путей необщего пользования).</w:t>
      </w:r>
    </w:p>
    <w:p w14:paraId="1A6B59E9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96. Вскрытие опломбированных аппаратов управления систем железнодорожной автоматики и телемеханики производится только уполномоченными лицами владельца инфраструктуры (владельца железнодорожных путей необщего пользования) с предварительной записью в журнале осмотра этих устройств. Контроль сохранности целостности пломб на аппаратах устройств автоматики и телемеханики осуществляется уполномоченными работниками владельца инфраструктуры (владельца железнодорожных путей необщего пользования).</w:t>
      </w:r>
    </w:p>
    <w:p w14:paraId="2364F944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97. Порядок ведения технической документации устройств железнодорожной автоматики и телемеханики, внесения в нее изменений, применения специализированных автоматизированных систем для разработки, хранения и актуализации технической документации устанавливается локальным нормативным актом владельца инфраструктуры (владельца железнодорожных путей необщего пользования).</w:t>
      </w:r>
    </w:p>
    <w:p w14:paraId="73BB7353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 xml:space="preserve">98. Владелец инфраструктуры (владелец железнодорожных путей необщего пользования) локальным нормативным актом устанавливает </w:t>
      </w:r>
      <w:r w:rsidRPr="004B0ACD">
        <w:rPr>
          <w:rFonts w:ascii="Times New Roman" w:hAnsi="Times New Roman" w:cs="Times New Roman"/>
          <w:sz w:val="28"/>
          <w:szCs w:val="28"/>
        </w:rPr>
        <w:lastRenderedPageBreak/>
        <w:t>порядок утверждения технических решений (в том числе типовых) по оборудованию устройствами сигнализации, централизации и блокировки.</w:t>
      </w:r>
    </w:p>
    <w:p w14:paraId="79443E3F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99. Владелец инфраструктуры (владелец железнодорожных путей необщего пользования) на основании технической документации изготовителей (разработчиков) устройств железнодорожной автоматики и телемеханики устанавливает локальным нормативным актом назначенный срок службы принадлежащих им объектов железнодорожной автоматики и телемеханики и порядок его продления.</w:t>
      </w:r>
    </w:p>
    <w:p w14:paraId="4A14E3E8" w14:textId="77777777" w:rsidR="00E61411" w:rsidRPr="004B0ACD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100. Порядок действий при выключении и включении устройств железнодорожной автоматики и телемеханики, устройств механизации и автоматизации сортировочных горок при их неисправности, осмотре и ремонте устанавливается локальным нормативным актом владельца инфраструктуры (владельца железнодорожных путей необщего пользования) с соблюдением требований Правил.</w:t>
      </w:r>
    </w:p>
    <w:p w14:paraId="1E782036" w14:textId="77777777" w:rsidR="00E61411" w:rsidRDefault="00E61411" w:rsidP="00E61411">
      <w:pPr>
        <w:tabs>
          <w:tab w:val="left" w:pos="41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CD">
        <w:rPr>
          <w:rFonts w:ascii="Times New Roman" w:hAnsi="Times New Roman" w:cs="Times New Roman"/>
          <w:sz w:val="28"/>
          <w:szCs w:val="28"/>
        </w:rPr>
        <w:t>101. Временные изменения зависимостей устройств железнодорожной автоматики и телемеханики осуществляют в порядке, установленном локальным нормативным актом владельца инфраструктуры (владельца железнодорожных путей необщего пользования).</w:t>
      </w:r>
    </w:p>
    <w:p w14:paraId="69E191A2" w14:textId="77777777" w:rsidR="00FC2223" w:rsidRPr="001608E7" w:rsidRDefault="00FC2223" w:rsidP="001608E7"/>
    <w:sectPr w:rsidR="00FC2223" w:rsidRPr="001608E7" w:rsidSect="00243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88B"/>
    <w:rsid w:val="0002222D"/>
    <w:rsid w:val="000A757C"/>
    <w:rsid w:val="00121266"/>
    <w:rsid w:val="001608E7"/>
    <w:rsid w:val="00243F82"/>
    <w:rsid w:val="00340668"/>
    <w:rsid w:val="003F3C93"/>
    <w:rsid w:val="00481147"/>
    <w:rsid w:val="00515B6A"/>
    <w:rsid w:val="00617EDA"/>
    <w:rsid w:val="006628FC"/>
    <w:rsid w:val="00737A57"/>
    <w:rsid w:val="00760E23"/>
    <w:rsid w:val="00A500D7"/>
    <w:rsid w:val="00B7088B"/>
    <w:rsid w:val="00CC0162"/>
    <w:rsid w:val="00D02B92"/>
    <w:rsid w:val="00E61411"/>
    <w:rsid w:val="00E873AE"/>
    <w:rsid w:val="00F13754"/>
    <w:rsid w:val="00FC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0E2AC"/>
  <w15:docId w15:val="{D0722EEA-413E-4D7E-B3A7-A8738923B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F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515B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1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B6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614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base.garant.ru/12188499/" TargetMode="External"/><Relationship Id="rId5" Type="http://schemas.openxmlformats.org/officeDocument/2006/relationships/hyperlink" Target="https://base.garant.ru/405042985/8ba4c8aba5958e0331609d6c2e7fb6c5/" TargetMode="External"/><Relationship Id="rId10" Type="http://schemas.openxmlformats.org/officeDocument/2006/relationships/hyperlink" Target="https://base.garant.ru/12188499/" TargetMode="External"/><Relationship Id="rId4" Type="http://schemas.openxmlformats.org/officeDocument/2006/relationships/hyperlink" Target="https://base.garant.ru/405042985/8ba4c8aba5958e0331609d6c2e7fb6c5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2777</Words>
  <Characters>15834</Characters>
  <Application>Microsoft Office Word</Application>
  <DocSecurity>0</DocSecurity>
  <Lines>131</Lines>
  <Paragraphs>37</Paragraphs>
  <ScaleCrop>false</ScaleCrop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Михаил</cp:lastModifiedBy>
  <cp:revision>15</cp:revision>
  <dcterms:created xsi:type="dcterms:W3CDTF">2020-09-02T04:13:00Z</dcterms:created>
  <dcterms:modified xsi:type="dcterms:W3CDTF">2024-09-21T03:28:00Z</dcterms:modified>
</cp:coreProperties>
</file>