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Style w:val="ac"/>
          <w:rFonts w:ascii="Segoe UI" w:eastAsiaTheme="majorEastAsia" w:hAnsi="Segoe UI" w:cs="Segoe UI"/>
          <w:color w:val="212529"/>
          <w:sz w:val="17"/>
          <w:szCs w:val="17"/>
        </w:rPr>
        <w:t>Раздел I.Введение в Правила технической эксплуатации (ПТЭ) железных дорог Российской Федерации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Style w:val="ac"/>
          <w:rFonts w:ascii="Segoe UI" w:eastAsiaTheme="majorEastAsia" w:hAnsi="Segoe UI" w:cs="Segoe UI"/>
          <w:color w:val="212529"/>
          <w:sz w:val="17"/>
          <w:szCs w:val="17"/>
        </w:rPr>
        <w:t>Цель лекции:</w:t>
      </w:r>
      <w:r>
        <w:rPr>
          <w:rFonts w:ascii="Segoe UI" w:hAnsi="Segoe UI" w:cs="Segoe UI"/>
          <w:color w:val="212529"/>
          <w:sz w:val="17"/>
          <w:szCs w:val="17"/>
        </w:rPr>
        <w:t> разобрать структуру и содержание вводных положений Правил технической эксплуатации, определить круг лиц, на которых распространяется данный нормативный акт, и понять взаимосвязь ПТЭ с профильными инструкциями.</w:t>
      </w:r>
    </w:p>
    <w:p w:rsidR="00872A5C" w:rsidRDefault="00872A5C" w:rsidP="00872A5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212529"/>
          <w:sz w:val="27"/>
          <w:szCs w:val="27"/>
        </w:rPr>
      </w:pPr>
      <w:r>
        <w:rPr>
          <w:rFonts w:ascii="Segoe UI" w:hAnsi="Segoe UI" w:cs="Segoe UI"/>
          <w:b w:val="0"/>
          <w:bCs w:val="0"/>
          <w:color w:val="212529"/>
        </w:rPr>
        <w:t>Часть 1. Понятие и назначение Правил технической эксплуатации.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Правила технической эксплуатации железных дорог Российской Федерации (ПТЭ РФ) — это фундаментальный нормативно-правовой документ, своего рода «конституция» железнодорожного транспорта страны.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 </w:t>
      </w:r>
      <w:r>
        <w:rPr>
          <w:rStyle w:val="ac"/>
          <w:rFonts w:ascii="Segoe UI" w:eastAsiaTheme="majorEastAsia" w:hAnsi="Segoe UI" w:cs="Segoe UI"/>
          <w:color w:val="212529"/>
          <w:sz w:val="17"/>
          <w:szCs w:val="17"/>
        </w:rPr>
        <w:t>ПТЭ устанавливают:</w:t>
      </w:r>
    </w:p>
    <w:p w:rsidR="00872A5C" w:rsidRDefault="00872A5C" w:rsidP="00872A5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Style w:val="ac"/>
          <w:rFonts w:ascii="Segoe UI" w:hAnsi="Segoe UI" w:cs="Segoe UI"/>
          <w:color w:val="212529"/>
          <w:sz w:val="17"/>
          <w:szCs w:val="17"/>
        </w:rPr>
        <w:t>Систему организации движения поездов.</w:t>
      </w:r>
      <w:r>
        <w:rPr>
          <w:rFonts w:ascii="Segoe UI" w:hAnsi="Segoe UI" w:cs="Segoe UI"/>
          <w:color w:val="212529"/>
          <w:sz w:val="17"/>
          <w:szCs w:val="17"/>
        </w:rPr>
        <w:t> Это базовый алгоритм того, как поезда перемещаются по сети, как они взаимодействуют друг с другом и с диспетчерами.</w:t>
      </w:r>
    </w:p>
    <w:p w:rsidR="00872A5C" w:rsidRDefault="00872A5C" w:rsidP="00872A5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Style w:val="ac"/>
          <w:rFonts w:ascii="Segoe UI" w:hAnsi="Segoe UI" w:cs="Segoe UI"/>
          <w:color w:val="212529"/>
          <w:sz w:val="17"/>
          <w:szCs w:val="17"/>
        </w:rPr>
        <w:t>Требования к технической эксплуатации объектов.</w:t>
      </w:r>
      <w:r>
        <w:rPr>
          <w:rFonts w:ascii="Segoe UI" w:hAnsi="Segoe UI" w:cs="Segoe UI"/>
          <w:color w:val="212529"/>
          <w:sz w:val="17"/>
          <w:szCs w:val="17"/>
        </w:rPr>
        <w:t> Сюда входят три основные группы:</w:t>
      </w:r>
    </w:p>
    <w:p w:rsidR="00872A5C" w:rsidRDefault="00872A5C" w:rsidP="00872A5C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Style w:val="ae"/>
          <w:rFonts w:ascii="Segoe UI" w:hAnsi="Segoe UI" w:cs="Segoe UI"/>
          <w:color w:val="212529"/>
          <w:sz w:val="17"/>
          <w:szCs w:val="17"/>
        </w:rPr>
        <w:t>Инфраструктура:</w:t>
      </w:r>
      <w:r>
        <w:rPr>
          <w:rFonts w:ascii="Segoe UI" w:hAnsi="Segoe UI" w:cs="Segoe UI"/>
          <w:color w:val="212529"/>
          <w:sz w:val="17"/>
          <w:szCs w:val="17"/>
        </w:rPr>
        <w:t> пути общего пользования, системы электроснабжения, связи, сигнализации и управления движением.</w:t>
      </w:r>
    </w:p>
    <w:p w:rsidR="00872A5C" w:rsidRDefault="00872A5C" w:rsidP="00872A5C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Style w:val="ae"/>
          <w:rFonts w:ascii="Segoe UI" w:hAnsi="Segoe UI" w:cs="Segoe UI"/>
          <w:color w:val="212529"/>
          <w:sz w:val="17"/>
          <w:szCs w:val="17"/>
        </w:rPr>
        <w:t>Железнодорожные пути необщего пользования:</w:t>
      </w:r>
      <w:r>
        <w:rPr>
          <w:rFonts w:ascii="Segoe UI" w:hAnsi="Segoe UI" w:cs="Segoe UI"/>
          <w:color w:val="212529"/>
          <w:sz w:val="17"/>
          <w:szCs w:val="17"/>
        </w:rPr>
        <w:t> подъездные пути заводов, портов, складских терминалов.</w:t>
      </w:r>
    </w:p>
    <w:p w:rsidR="00872A5C" w:rsidRDefault="00872A5C" w:rsidP="00872A5C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Style w:val="ae"/>
          <w:rFonts w:ascii="Segoe UI" w:hAnsi="Segoe UI" w:cs="Segoe UI"/>
          <w:color w:val="212529"/>
          <w:sz w:val="17"/>
          <w:szCs w:val="17"/>
        </w:rPr>
        <w:t>Железнодорожный подвижной состав:</w:t>
      </w:r>
      <w:r>
        <w:rPr>
          <w:rFonts w:ascii="Segoe UI" w:hAnsi="Segoe UI" w:cs="Segoe UI"/>
          <w:color w:val="212529"/>
          <w:sz w:val="17"/>
          <w:szCs w:val="17"/>
        </w:rPr>
        <w:t> локомотивы, вагоны, моторвагонный подвижной состав.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Важнейший аспект данного  пункта — определение обязанностей работников. ПТЭ четко регламентируют, что именно должны делать сотрудники на железнодорожном транспорте общего и необщего пользования для обеспечения штатной работы системы. Без этого документа действия любого машиниста или путейца были бы субъективны.</w:t>
      </w:r>
    </w:p>
    <w:p w:rsidR="00872A5C" w:rsidRDefault="00872A5C" w:rsidP="00872A5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212529"/>
          <w:sz w:val="27"/>
          <w:szCs w:val="27"/>
        </w:rPr>
      </w:pPr>
      <w:r>
        <w:rPr>
          <w:rFonts w:ascii="Segoe UI" w:hAnsi="Segoe UI" w:cs="Segoe UI"/>
          <w:b w:val="0"/>
          <w:bCs w:val="0"/>
          <w:color w:val="212529"/>
        </w:rPr>
        <w:t>Часть 2. Сфера применения и обязательность исполнения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    ПТЭ обладают абсолютным приоритетом. Их выполнение обязательно для максимально широкого круга субъектов:</w:t>
      </w:r>
    </w:p>
    <w:p w:rsidR="00872A5C" w:rsidRDefault="00872A5C" w:rsidP="00872A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Все организации и индивидуальные предприниматели, участвующие в перевозочном процессе.</w:t>
      </w:r>
    </w:p>
    <w:p w:rsidR="00872A5C" w:rsidRDefault="00872A5C" w:rsidP="00872A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Компании, осуществляющие ремонт и техническое обслуживание инфраструктуры, путей необщего пользования и подвижного состава.</w:t>
      </w:r>
    </w:p>
    <w:p w:rsidR="00872A5C" w:rsidRDefault="00872A5C" w:rsidP="00872A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Организации, занимающиеся охраной объектов железнодорожного транспорта и грузов.</w:t>
      </w:r>
    </w:p>
    <w:p w:rsidR="00872A5C" w:rsidRDefault="00872A5C" w:rsidP="00872A5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Непосредственно все работники железнодорожного транспорта.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 Таким образом, ПТЭ не существуют сами по себе, а являются инструментом реализации федерального законодательства. Нарушение требований ПТЭ влечет за собой дисциплинарную, административную, а в случае аварий — уголовную ответственность.</w:t>
      </w:r>
    </w:p>
    <w:p w:rsidR="00872A5C" w:rsidRDefault="00872A5C" w:rsidP="00872A5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212529"/>
          <w:sz w:val="27"/>
          <w:szCs w:val="27"/>
        </w:rPr>
      </w:pPr>
      <w:r>
        <w:rPr>
          <w:rFonts w:ascii="Segoe UI" w:hAnsi="Segoe UI" w:cs="Segoe UI"/>
          <w:b w:val="0"/>
          <w:bCs w:val="0"/>
          <w:color w:val="212529"/>
        </w:rPr>
        <w:t>Часть 3. Структура нормативного комплекса: ПТЭ и приложения-инструкции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Современная редакция ПТЭ представляет собой каркасный документ. Чтобы не раздувать основной текст правил до тысяч страниц, детальные технические алгоритмы вынесены в отдельные приложения, которые имеют силу самих Правил. Текст указывает на два ключевых из них: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Style w:val="ac"/>
          <w:rFonts w:ascii="Segoe UI" w:eastAsiaTheme="majorEastAsia" w:hAnsi="Segoe UI" w:cs="Segoe UI"/>
          <w:color w:val="212529"/>
          <w:sz w:val="17"/>
          <w:szCs w:val="17"/>
        </w:rPr>
        <w:t>1. Инструкция по сигнализации (Приложение № 1, п. 3 текста)</w:t>
      </w:r>
      <w:r>
        <w:rPr>
          <w:rFonts w:ascii="Segoe UI" w:hAnsi="Segoe UI" w:cs="Segoe UI"/>
          <w:color w:val="212529"/>
          <w:sz w:val="17"/>
          <w:szCs w:val="17"/>
        </w:rPr>
        <w:t> Этот раздел отвечает на вопрос «Как понимать намерения участников движения?». Железная дорога — зона повышенной опасности, где визуальный и звуковой контакт часто важнее радиосвязи. Инструкция регламентирует:</w:t>
      </w:r>
    </w:p>
    <w:p w:rsidR="00872A5C" w:rsidRDefault="00872A5C" w:rsidP="00872A5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Типы сигнальных приборов (светофоры, указатели, шлагбаумы).</w:t>
      </w:r>
    </w:p>
    <w:p w:rsidR="00872A5C" w:rsidRDefault="00872A5C" w:rsidP="00872A5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Значение видимых сигналов (красный — стой, зеленый — путь свободен, лунно-белый огонь и другие специализированные показания).</w:t>
      </w:r>
    </w:p>
    <w:p w:rsidR="00872A5C" w:rsidRDefault="00872A5C" w:rsidP="00872A5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Значение звуковых сигналов (свистки, сирены, петарды), подаваемых локомотивами и станционными устройствами для предупреждения о начале движения или угрозе. Ее цель — обеспечение безотказной и безопасной работы путем создания единого визуального языка для всех служб.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Style w:val="ac"/>
          <w:rFonts w:ascii="Segoe UI" w:eastAsiaTheme="majorEastAsia" w:hAnsi="Segoe UI" w:cs="Segoe UI"/>
          <w:color w:val="212529"/>
          <w:sz w:val="17"/>
          <w:szCs w:val="17"/>
        </w:rPr>
        <w:t>2. Инструкция по организации движения поездов и маневровой работы (Приложение № 2, п. 4 текста)</w:t>
      </w:r>
      <w:r>
        <w:rPr>
          <w:rFonts w:ascii="Segoe UI" w:hAnsi="Segoe UI" w:cs="Segoe UI"/>
          <w:color w:val="212529"/>
          <w:sz w:val="17"/>
          <w:szCs w:val="17"/>
        </w:rPr>
        <w:t> Если сигналы — это язык, то эта инструкция — правила дорожного движения и тактика ведения боя одновременно. Она описывает динамику процесса:</w:t>
      </w:r>
    </w:p>
    <w:p w:rsidR="00872A5C" w:rsidRDefault="00872A5C" w:rsidP="00872A5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lastRenderedPageBreak/>
        <w:t>Порядок приема, отправления и пропуска поездов по перегонам и станциям.</w:t>
      </w:r>
    </w:p>
    <w:p w:rsidR="00872A5C" w:rsidRDefault="00872A5C" w:rsidP="00872A5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Правила выполнения маневровой работы (перестановка вагонов, формирование составов на сортировочных горках).</w:t>
      </w:r>
    </w:p>
    <w:p w:rsidR="00872A5C" w:rsidRDefault="00872A5C" w:rsidP="00872A5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Закрепление подвижного состава (как правильно ставить тормозные башмаки, чтобы вагон не ушел под уклон).</w:t>
      </w:r>
    </w:p>
    <w:p w:rsidR="00872A5C" w:rsidRDefault="00872A5C" w:rsidP="00872A5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Особый порядок действий при выполнении ремонтно-строительных работ на путях (когда движение происходит по временно измененной схеме).</w:t>
      </w:r>
    </w:p>
    <w:p w:rsidR="00872A5C" w:rsidRDefault="00872A5C" w:rsidP="00872A5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Назначение поездов и распределение поездной работы между диспетчерами.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Представленный раздел I демонстрирует строгую иерархию железнодорожной безопасности. Федеральный закон задает правовые рамки (№ 17-ФЗ). Правила технической эксплуатации формулируют общие требования и распределяют обязанности. А профильные инструкции (по сигнализации и движению поездов) дают исполнителям пошаговые алгоритмы действий. Эта система исключает двоякое толкование норм: она обязывает абсолютно всех участников процесса — от владельца частного подъездного пути до машиниста скоростного поезда — работать по единым стандартам, обеспечивая главное свойство железной дороги — безопасность при высокой интенсивности перевозок. Любое отклонение от этих документов рассматривается как предпосылка к транспортному происшествию.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t> </w:t>
      </w:r>
      <w:hyperlink r:id="rId7" w:tooltip="Лекция" w:history="1">
        <w:r>
          <w:rPr>
            <w:rStyle w:val="ad"/>
            <w:rFonts w:ascii="Segoe UI" w:hAnsi="Segoe UI" w:cs="Segoe UI"/>
            <w:b/>
            <w:bCs/>
            <w:color w:val="0F6FC5"/>
            <w:sz w:val="17"/>
            <w:szCs w:val="17"/>
          </w:rPr>
          <w:t>Лекция</w:t>
        </w:r>
      </w:hyperlink>
      <w:r>
        <w:rPr>
          <w:rFonts w:ascii="Segoe UI" w:hAnsi="Segoe UI" w:cs="Segoe UI"/>
          <w:b/>
          <w:bCs/>
          <w:color w:val="212529"/>
          <w:sz w:val="17"/>
          <w:szCs w:val="17"/>
        </w:rPr>
        <w:t> Раздел II. Дисциплина, допуск и ответственность. Обязанности работников железнодорожного транспорта (на основе ПТЭ РФ)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t>Введение</w:t>
      </w:r>
      <w:r>
        <w:rPr>
          <w:rFonts w:ascii="Segoe UI" w:hAnsi="Segoe UI" w:cs="Segoe UI"/>
          <w:color w:val="212529"/>
          <w:sz w:val="17"/>
          <w:szCs w:val="17"/>
        </w:rPr>
        <w:t> Железная дорога — это комплексный технологический процесс, где безопасность зависит не только от автоматики, но и от человеческого фактора в решающей степени. Второй раздел Правил технической эксплуатации (ПТЭ) посвящен именно человеку на путях. Если первый раздел определял </w:t>
      </w:r>
      <w:r>
        <w:rPr>
          <w:rStyle w:val="ae"/>
          <w:rFonts w:ascii="Segoe UI" w:hAnsi="Segoe UI" w:cs="Segoe UI"/>
          <w:color w:val="212529"/>
          <w:sz w:val="17"/>
          <w:szCs w:val="17"/>
        </w:rPr>
        <w:t>что</w:t>
      </w:r>
      <w:r>
        <w:rPr>
          <w:rFonts w:ascii="Segoe UI" w:hAnsi="Segoe UI" w:cs="Segoe UI"/>
          <w:color w:val="212529"/>
          <w:sz w:val="17"/>
          <w:szCs w:val="17"/>
        </w:rPr>
        <w:t> нужно делать с инфраструктурой, то второй определяет, </w:t>
      </w:r>
      <w:r>
        <w:rPr>
          <w:rStyle w:val="ae"/>
          <w:rFonts w:ascii="Segoe UI" w:hAnsi="Segoe UI" w:cs="Segoe UI"/>
          <w:color w:val="212529"/>
          <w:sz w:val="17"/>
          <w:szCs w:val="17"/>
        </w:rPr>
        <w:t>кто</w:t>
      </w:r>
      <w:r>
        <w:rPr>
          <w:rFonts w:ascii="Segoe UI" w:hAnsi="Segoe UI" w:cs="Segoe UI"/>
          <w:color w:val="212529"/>
          <w:sz w:val="17"/>
          <w:szCs w:val="17"/>
        </w:rPr>
        <w:t>, </w:t>
      </w:r>
      <w:r>
        <w:rPr>
          <w:rStyle w:val="ae"/>
          <w:rFonts w:ascii="Segoe UI" w:hAnsi="Segoe UI" w:cs="Segoe UI"/>
          <w:color w:val="212529"/>
          <w:sz w:val="17"/>
          <w:szCs w:val="17"/>
        </w:rPr>
        <w:t>как</w:t>
      </w:r>
      <w:r>
        <w:rPr>
          <w:rFonts w:ascii="Segoe UI" w:hAnsi="Segoe UI" w:cs="Segoe UI"/>
          <w:color w:val="212529"/>
          <w:sz w:val="17"/>
          <w:szCs w:val="17"/>
        </w:rPr>
        <w:t> и </w:t>
      </w:r>
      <w:r>
        <w:rPr>
          <w:rStyle w:val="ae"/>
          <w:rFonts w:ascii="Segoe UI" w:hAnsi="Segoe UI" w:cs="Segoe UI"/>
          <w:color w:val="212529"/>
          <w:sz w:val="17"/>
          <w:szCs w:val="17"/>
        </w:rPr>
        <w:t>в каком состоянии</w:t>
      </w:r>
      <w:r>
        <w:rPr>
          <w:rFonts w:ascii="Segoe UI" w:hAnsi="Segoe UI" w:cs="Segoe UI"/>
          <w:color w:val="212529"/>
          <w:sz w:val="17"/>
          <w:szCs w:val="17"/>
        </w:rPr>
        <w:t> имеет право к ней прикасаться.</w:t>
      </w:r>
    </w:p>
    <w:p w:rsidR="00872A5C" w:rsidRDefault="00872A5C" w:rsidP="00872A5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212529"/>
          <w:sz w:val="27"/>
          <w:szCs w:val="27"/>
        </w:rPr>
      </w:pPr>
      <w:r>
        <w:rPr>
          <w:rFonts w:ascii="Segoe UI" w:hAnsi="Segoe UI" w:cs="Segoe UI"/>
          <w:b w:val="0"/>
          <w:bCs w:val="0"/>
          <w:color w:val="212529"/>
        </w:rPr>
        <w:t>Тема 1. Иерархия ответственности: работник и работодатель </w:t>
      </w:r>
    </w:p>
    <w:p w:rsidR="00872A5C" w:rsidRDefault="00872A5C" w:rsidP="00872A5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t>Обязанность работника:</w:t>
      </w:r>
      <w:r>
        <w:rPr>
          <w:rFonts w:ascii="Segoe UI" w:hAnsi="Segoe UI" w:cs="Segoe UI"/>
          <w:color w:val="212529"/>
          <w:sz w:val="17"/>
          <w:szCs w:val="17"/>
        </w:rPr>
        <w:t> обеспечивать выполнение Правил, безопасность движения и эксплуатацию в рамках своих должностных инструкций. Работник несет персональную ответственность за свои действия.</w:t>
      </w:r>
    </w:p>
    <w:p w:rsidR="00872A5C" w:rsidRDefault="00872A5C" w:rsidP="00872A5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t>Обязанность работодателя:</w:t>
      </w:r>
      <w:r>
        <w:rPr>
          <w:rFonts w:ascii="Segoe UI" w:hAnsi="Segoe UI" w:cs="Segoe UI"/>
          <w:color w:val="212529"/>
          <w:sz w:val="17"/>
          <w:szCs w:val="17"/>
        </w:rPr>
        <w:t> организация или индивидуальный предприниматель обязаны создать условия для соблюдения работником этих правил. Это включает обучение, обеспечение исправным инструментом, сигнальными принадлежностями и регламентированное время отдыха. Бездействие работодателя, приведшее к нарушению со стороны сотрудника, является таким же нарушением ПТЭ.</w:t>
      </w:r>
    </w:p>
    <w:p w:rsidR="00872A5C" w:rsidRDefault="00872A5C" w:rsidP="00872A5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212529"/>
          <w:sz w:val="27"/>
          <w:szCs w:val="27"/>
        </w:rPr>
      </w:pPr>
      <w:r>
        <w:rPr>
          <w:rFonts w:ascii="Segoe UI" w:hAnsi="Segoe UI" w:cs="Segoe UI"/>
          <w:b w:val="0"/>
          <w:bCs w:val="0"/>
          <w:color w:val="212529"/>
        </w:rPr>
        <w:t>Тема 2. Техническая сохранность инфраструктуры 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Этот пункт вводит критически важные понятия из ГОСТ Р 27.102-2021 «Надежность в технике», которые студенты должны усвоить:</w:t>
      </w:r>
    </w:p>
    <w:p w:rsidR="00872A5C" w:rsidRDefault="00872A5C" w:rsidP="00872A5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t>Исправное состояние (исправность):</w:t>
      </w:r>
      <w:r>
        <w:rPr>
          <w:rFonts w:ascii="Segoe UI" w:hAnsi="Segoe UI" w:cs="Segoe UI"/>
          <w:color w:val="212529"/>
          <w:sz w:val="17"/>
          <w:szCs w:val="17"/>
        </w:rPr>
        <w:t> состояние объекта, при котором он соответствует всем требованиям нормативно-технической документации.</w:t>
      </w:r>
    </w:p>
    <w:p w:rsidR="00872A5C" w:rsidRDefault="00872A5C" w:rsidP="00872A5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t>Работоспособное состояние (работоспособность):</w:t>
      </w:r>
      <w:r>
        <w:rPr>
          <w:rFonts w:ascii="Segoe UI" w:hAnsi="Segoe UI" w:cs="Segoe UI"/>
          <w:color w:val="212529"/>
          <w:sz w:val="17"/>
          <w:szCs w:val="17"/>
        </w:rPr>
        <w:t> состояние, при котором значения всех параметров, характеризующих способность выполнять заданные функции, соответствуют требованиям. </w:t>
      </w:r>
      <w:r>
        <w:rPr>
          <w:rStyle w:val="ae"/>
          <w:rFonts w:ascii="Segoe UI" w:hAnsi="Segoe UI" w:cs="Segoe UI"/>
          <w:color w:val="212529"/>
          <w:sz w:val="17"/>
          <w:szCs w:val="17"/>
        </w:rPr>
        <w:t>(Объект может быть неисправен — например, иметь царапину на корпусе, — но работоспособен).</w:t>
      </w:r>
    </w:p>
    <w:p w:rsidR="00872A5C" w:rsidRDefault="00872A5C" w:rsidP="00872A5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t>Техническое состояние:</w:t>
      </w:r>
      <w:r>
        <w:rPr>
          <w:rFonts w:ascii="Segoe UI" w:hAnsi="Segoe UI" w:cs="Segoe UI"/>
          <w:color w:val="212529"/>
          <w:sz w:val="17"/>
          <w:szCs w:val="17"/>
        </w:rPr>
        <w:t> совокупность свойств объекта в определенный момент времени.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Ответственность за пути, стрелки и устройства несут непосредственно обслуживающие их работники (дорожные мастера, электромеханики СЦБ). Они обязаны знать текущее состояние объектов, проводить проверки и выполнять ремонт строго по эксплуатационной и ремонтной документации. Важное дополнение — соблюдение Федерального закона № 102-ФЗ «Об обеспечении единства измерений». Любые замеры ширины колеи, износа рельсов или напряжения в цепи должны проводиться поверенными приборами, иначе данные считаются юридически ничтожными.</w:t>
      </w:r>
    </w:p>
    <w:p w:rsidR="00872A5C" w:rsidRDefault="00872A5C" w:rsidP="00872A5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212529"/>
          <w:sz w:val="27"/>
          <w:szCs w:val="27"/>
        </w:rPr>
      </w:pPr>
      <w:r>
        <w:rPr>
          <w:rFonts w:ascii="Segoe UI" w:hAnsi="Segoe UI" w:cs="Segoe UI"/>
          <w:b w:val="0"/>
          <w:bCs w:val="0"/>
          <w:color w:val="212529"/>
        </w:rPr>
        <w:t>Тема 3. Комплексная безопасность и реакция на угрозу 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Работа на транспорте регулируется не только ПТЭ, но и целым сводом смежных норм:</w:t>
      </w:r>
    </w:p>
    <w:p w:rsidR="00872A5C" w:rsidRDefault="00872A5C" w:rsidP="00872A5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Охрана труда, промышленная, экологическая и пожарная безопасность.</w:t>
      </w:r>
    </w:p>
    <w:p w:rsidR="00872A5C" w:rsidRDefault="00872A5C" w:rsidP="00872A5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Санитарно-эпидемиологические правила.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lastRenderedPageBreak/>
        <w:t>При возникновении угрозы жизни людей или сохранности имущества действует алгоритм экстренного оповещения руководителя любыми доступными средствами связи.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Пункт 8 описывает поведение при обнаружении неисправности на ходу поезда. Это классическая триада действий любого железнодорожника:</w:t>
      </w:r>
    </w:p>
    <w:p w:rsidR="00872A5C" w:rsidRDefault="00872A5C" w:rsidP="00872A5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t>Подать сигнал остановки.</w:t>
      </w:r>
      <w:r>
        <w:rPr>
          <w:rFonts w:ascii="Segoe UI" w:hAnsi="Segoe UI" w:cs="Segoe UI"/>
          <w:color w:val="212529"/>
          <w:sz w:val="17"/>
          <w:szCs w:val="17"/>
        </w:rPr>
        <w:t> Используются видимые (красный флаг, фонарь, диски) или звуковые сигналы согласно Приложению № 1 к Правилам.</w:t>
      </w:r>
    </w:p>
    <w:p w:rsidR="00872A5C" w:rsidRDefault="00872A5C" w:rsidP="00872A5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t>Принять меры к остановке.</w:t>
      </w:r>
      <w:r>
        <w:rPr>
          <w:rFonts w:ascii="Segoe UI" w:hAnsi="Segoe UI" w:cs="Segoe UI"/>
          <w:color w:val="212529"/>
          <w:sz w:val="17"/>
          <w:szCs w:val="17"/>
        </w:rPr>
        <w:t> Попытаться связаться с машинистом по радиосвязи или использовать другие доступные способы передачи сигнала тревоги.</w:t>
      </w:r>
    </w:p>
    <w:p w:rsidR="00872A5C" w:rsidRDefault="00872A5C" w:rsidP="00872A5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t>Оградить опасное место.</w:t>
      </w:r>
      <w:r>
        <w:rPr>
          <w:rFonts w:ascii="Segoe UI" w:hAnsi="Segoe UI" w:cs="Segoe UI"/>
          <w:color w:val="212529"/>
          <w:sz w:val="17"/>
          <w:szCs w:val="17"/>
        </w:rPr>
        <w:t> Выставить переносные сигналы уменьшения скорости или остановки, чтобы защитить место работ или разрушения от следующих поездов.</w:t>
      </w:r>
    </w:p>
    <w:p w:rsidR="00872A5C" w:rsidRDefault="00872A5C" w:rsidP="00872A5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t>Сообщить дежурному.</w:t>
      </w:r>
      <w:r>
        <w:rPr>
          <w:rFonts w:ascii="Segoe UI" w:hAnsi="Segoe UI" w:cs="Segoe UI"/>
          <w:color w:val="212529"/>
          <w:sz w:val="17"/>
          <w:szCs w:val="17"/>
        </w:rPr>
        <w:t> Уведомить ближайшего диспетчера или дежурного по станции о характере угрозы.</w:t>
      </w:r>
    </w:p>
    <w:p w:rsidR="00872A5C" w:rsidRDefault="00872A5C" w:rsidP="00872A5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212529"/>
          <w:sz w:val="27"/>
          <w:szCs w:val="27"/>
        </w:rPr>
      </w:pPr>
      <w:r>
        <w:rPr>
          <w:rFonts w:ascii="Segoe UI" w:hAnsi="Segoe UI" w:cs="Segoe UI"/>
          <w:b w:val="0"/>
          <w:bCs w:val="0"/>
          <w:color w:val="212529"/>
        </w:rPr>
        <w:t>Тема 4. Режимность объектов и допуск к управлению 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Железная дорога — объект строгого режимного контроля. Доступ в кабины локомотивов, к стрелочным переводам, светофорам и пультам управления разрешен исключительно тем работникам, чьи должностные обязанности этого требуют. Посторонним лицам находиться там запрещено.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Для управления сложной техникой недостаточно просто устроиться на работу. Необходимы два юридических фильтра:</w:t>
      </w:r>
    </w:p>
    <w:p w:rsidR="00872A5C" w:rsidRDefault="00872A5C" w:rsidP="00872A5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t>Свидетельство на право управления.</w:t>
      </w:r>
      <w:r>
        <w:rPr>
          <w:rFonts w:ascii="Segoe UI" w:hAnsi="Segoe UI" w:cs="Segoe UI"/>
          <w:color w:val="212529"/>
          <w:sz w:val="17"/>
          <w:szCs w:val="17"/>
        </w:rPr>
        <w:t> Выдается в соответствии с Приказом Минтранса РФ от 22.08.2019 г. № 273. Это государственный документ, подтверждающий квалификацию специалиста.</w:t>
      </w:r>
    </w:p>
    <w:p w:rsidR="00872A5C" w:rsidRDefault="00872A5C" w:rsidP="00872A5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t>Допуск владельца инфраструктуры.</w:t>
      </w:r>
      <w:r>
        <w:rPr>
          <w:rFonts w:ascii="Segoe UI" w:hAnsi="Segoe UI" w:cs="Segoe UI"/>
          <w:color w:val="212529"/>
          <w:sz w:val="17"/>
          <w:szCs w:val="17"/>
        </w:rPr>
        <w:t> Даже имея свидетельство, работник должен получить локальный допуск от конкретного предприятия (РЖД, промышленного оператора путей), пройдя проверку знаний местных особенностей профиля пути и устройств.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Важный педагогический аспект касается стажеров и студентов-практикантов. Их допуск осуществляется только через локальные нормативные акты владельца инфраструктуры (приказы начальника депо, дистанции) и обязательно включает требования статей 25 и 25.1 ФЗ «О железнодорожном транспорте» — то есть они также проходят медосмотры и находятся под строжайшим контролем наставника.</w:t>
      </w:r>
    </w:p>
    <w:p w:rsidR="00872A5C" w:rsidRDefault="00872A5C" w:rsidP="00872A5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212529"/>
          <w:sz w:val="27"/>
          <w:szCs w:val="27"/>
        </w:rPr>
      </w:pPr>
      <w:r>
        <w:rPr>
          <w:rFonts w:ascii="Segoe UI" w:hAnsi="Segoe UI" w:cs="Segoe UI"/>
          <w:b w:val="0"/>
          <w:bCs w:val="0"/>
          <w:color w:val="212529"/>
        </w:rPr>
        <w:t>Тема 5. Медицинский контроль и человеческий фактор 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Медицинские осмотры на железной дороге делятся на уровни:</w:t>
      </w:r>
    </w:p>
    <w:p w:rsidR="00872A5C" w:rsidRDefault="00872A5C" w:rsidP="00872A5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t>Предварительные и периодические:</w:t>
      </w:r>
      <w:r>
        <w:rPr>
          <w:rFonts w:ascii="Segoe UI" w:hAnsi="Segoe UI" w:cs="Segoe UI"/>
          <w:color w:val="212529"/>
          <w:sz w:val="17"/>
          <w:szCs w:val="17"/>
        </w:rPr>
        <w:t> Проводятся разово при приеме на работу и далее регулярно (раз в год или несколько лет) для выявления хронических заболеваний, препятствующих работе. Включают обязательные химико-токсикологические исследования на наркотики и психотропные вещества.</w:t>
      </w:r>
    </w:p>
    <w:p w:rsidR="00872A5C" w:rsidRDefault="00872A5C" w:rsidP="00872A5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t>Предрейсовые и предсменные:</w:t>
      </w:r>
      <w:r>
        <w:rPr>
          <w:rFonts w:ascii="Segoe UI" w:hAnsi="Segoe UI" w:cs="Segoe UI"/>
          <w:color w:val="212529"/>
          <w:sz w:val="17"/>
          <w:szCs w:val="17"/>
        </w:rPr>
        <w:t> Ежедневный фильтр перед выходом на смену. Оценивают общее самочувствие, давление, пульс и отсутствие признаков опьянения.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Согласно Трудовому кодексу РФ (ст. 76), любой работник, появившийся на рабочем месте в состоянии алкогольного, наркотического или иного токсического опьянения, подлежит немедленному отстранению от работы. На транспорте этот закон соблюдается беспрекословно из-за катастрофических последствий потери концентрации.</w:t>
      </w:r>
    </w:p>
    <w:p w:rsidR="00872A5C" w:rsidRDefault="00872A5C" w:rsidP="00872A5C">
      <w:pPr>
        <w:pStyle w:val="3"/>
        <w:shd w:val="clear" w:color="auto" w:fill="FFFFFF"/>
        <w:spacing w:before="0"/>
        <w:rPr>
          <w:rFonts w:ascii="Segoe UI" w:hAnsi="Segoe UI" w:cs="Segoe UI"/>
          <w:b w:val="0"/>
          <w:bCs w:val="0"/>
          <w:color w:val="212529"/>
          <w:sz w:val="27"/>
          <w:szCs w:val="27"/>
        </w:rPr>
      </w:pPr>
      <w:r>
        <w:rPr>
          <w:rFonts w:ascii="Segoe UI" w:hAnsi="Segoe UI" w:cs="Segoe UI"/>
          <w:b w:val="0"/>
          <w:bCs w:val="0"/>
          <w:color w:val="212529"/>
        </w:rPr>
        <w:t>Тема 6. Ат</w:t>
      </w:r>
      <w:hyperlink r:id="rId8" w:tooltip="Тест" w:history="1">
        <w:r>
          <w:rPr>
            <w:rStyle w:val="ad"/>
            <w:rFonts w:ascii="Segoe UI" w:hAnsi="Segoe UI" w:cs="Segoe UI"/>
            <w:b w:val="0"/>
            <w:bCs w:val="0"/>
            <w:color w:val="0F6FC5"/>
          </w:rPr>
          <w:t>тест</w:t>
        </w:r>
      </w:hyperlink>
      <w:r>
        <w:rPr>
          <w:rFonts w:ascii="Segoe UI" w:hAnsi="Segoe UI" w:cs="Segoe UI"/>
          <w:b w:val="0"/>
          <w:bCs w:val="0"/>
          <w:color w:val="212529"/>
        </w:rPr>
        <w:t>ация как подтверждение компетенции 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Знание теории должно подтверждаться комиссией. Ат</w:t>
      </w:r>
      <w:hyperlink r:id="rId9" w:tooltip="Тест" w:history="1">
        <w:r>
          <w:rPr>
            <w:rStyle w:val="ad"/>
            <w:rFonts w:ascii="Segoe UI" w:hAnsi="Segoe UI" w:cs="Segoe UI"/>
            <w:color w:val="0F6FC5"/>
            <w:sz w:val="17"/>
            <w:szCs w:val="17"/>
          </w:rPr>
          <w:t>тест</w:t>
        </w:r>
      </w:hyperlink>
      <w:r>
        <w:rPr>
          <w:rFonts w:ascii="Segoe UI" w:hAnsi="Segoe UI" w:cs="Segoe UI"/>
          <w:color w:val="212529"/>
          <w:sz w:val="17"/>
          <w:szCs w:val="17"/>
        </w:rPr>
        <w:t>ации подлежат:</w:t>
      </w:r>
    </w:p>
    <w:p w:rsidR="00872A5C" w:rsidRDefault="00872A5C" w:rsidP="00872A5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Лица, чья работа связана с движением поездов и маневровой работой (проверка знаний ПТЭ, Инструкции по движению [ИДП] и Инструкции по сигнализации [ИСИ]).</w:t>
      </w:r>
    </w:p>
    <w:p w:rsidR="00872A5C" w:rsidRDefault="00872A5C" w:rsidP="00872A5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Ответственные за погрузку и крепление грузов (проверка знания технических условий размещения и крепления).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color w:val="212529"/>
          <w:sz w:val="17"/>
          <w:szCs w:val="17"/>
        </w:rPr>
        <w:t>Ат</w:t>
      </w:r>
      <w:hyperlink r:id="rId10" w:tooltip="Тест" w:history="1">
        <w:r>
          <w:rPr>
            <w:rStyle w:val="ad"/>
            <w:rFonts w:ascii="Segoe UI" w:hAnsi="Segoe UI" w:cs="Segoe UI"/>
            <w:color w:val="0F6FC5"/>
            <w:sz w:val="17"/>
            <w:szCs w:val="17"/>
          </w:rPr>
          <w:t>тест</w:t>
        </w:r>
      </w:hyperlink>
      <w:r>
        <w:rPr>
          <w:rFonts w:ascii="Segoe UI" w:hAnsi="Segoe UI" w:cs="Segoe UI"/>
          <w:color w:val="212529"/>
          <w:sz w:val="17"/>
          <w:szCs w:val="17"/>
        </w:rPr>
        <w:t>ация проводится комиссиями, создаваемыми работодателями или органами транспортного надзора. Работник, не прошедший ат</w:t>
      </w:r>
      <w:hyperlink r:id="rId11" w:tooltip="Тест" w:history="1">
        <w:r>
          <w:rPr>
            <w:rStyle w:val="ad"/>
            <w:rFonts w:ascii="Segoe UI" w:hAnsi="Segoe UI" w:cs="Segoe UI"/>
            <w:color w:val="0F6FC5"/>
            <w:sz w:val="17"/>
            <w:szCs w:val="17"/>
          </w:rPr>
          <w:t>тест</w:t>
        </w:r>
      </w:hyperlink>
      <w:r>
        <w:rPr>
          <w:rFonts w:ascii="Segoe UI" w:hAnsi="Segoe UI" w:cs="Segoe UI"/>
          <w:color w:val="212529"/>
          <w:sz w:val="17"/>
          <w:szCs w:val="17"/>
        </w:rPr>
        <w:t>ацию, к самостоятельной работе не допускается до успешной пересдачи. Это гарантирует, что управление поездом весом в тысячи тонн находится в руках человека, подтвердившего свою компетентность.</w:t>
      </w:r>
    </w:p>
    <w:p w:rsidR="00872A5C" w:rsidRDefault="00872A5C" w:rsidP="00872A5C">
      <w:pPr>
        <w:pStyle w:val="af"/>
        <w:shd w:val="clear" w:color="auto" w:fill="FFFFFF"/>
        <w:spacing w:before="0" w:beforeAutospacing="0"/>
        <w:rPr>
          <w:rFonts w:ascii="Segoe UI" w:hAnsi="Segoe UI" w:cs="Segoe UI"/>
          <w:color w:val="212529"/>
          <w:sz w:val="17"/>
          <w:szCs w:val="17"/>
        </w:rPr>
      </w:pPr>
      <w:r>
        <w:rPr>
          <w:rFonts w:ascii="Segoe UI" w:hAnsi="Segoe UI" w:cs="Segoe UI"/>
          <w:b/>
          <w:bCs/>
          <w:color w:val="212529"/>
          <w:sz w:val="17"/>
          <w:szCs w:val="17"/>
        </w:rPr>
        <w:lastRenderedPageBreak/>
        <w:t>Заключение</w:t>
      </w:r>
      <w:r>
        <w:rPr>
          <w:rFonts w:ascii="Segoe UI" w:hAnsi="Segoe UI" w:cs="Segoe UI"/>
          <w:color w:val="212529"/>
          <w:sz w:val="17"/>
          <w:szCs w:val="17"/>
        </w:rPr>
        <w:t> Второй раздел ПТЭ формирует жесткий каркас профессиональной пригодности. Он отсекает лиц в ненадлежащем физическом состоянии, без должной квалификации или необходимых документов от управления сложнейшим транспортным механизмом, превращая железную дорогу в одну из самых безопасных систем массовых перевозок.</w:t>
      </w:r>
    </w:p>
    <w:p w:rsidR="00B41273" w:rsidRDefault="00B41273"/>
    <w:sectPr w:rsidR="00B41273" w:rsidSect="00A90668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3F3" w:rsidRDefault="00B823F3" w:rsidP="00D70BEA">
      <w:pPr>
        <w:spacing w:after="0" w:line="240" w:lineRule="auto"/>
      </w:pPr>
      <w:r>
        <w:separator/>
      </w:r>
    </w:p>
  </w:endnote>
  <w:endnote w:type="continuationSeparator" w:id="1">
    <w:p w:rsidR="00B823F3" w:rsidRDefault="00B823F3" w:rsidP="00D70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3F3" w:rsidRDefault="00B823F3" w:rsidP="00D70BEA">
      <w:pPr>
        <w:spacing w:after="0" w:line="240" w:lineRule="auto"/>
      </w:pPr>
      <w:r>
        <w:separator/>
      </w:r>
    </w:p>
  </w:footnote>
  <w:footnote w:type="continuationSeparator" w:id="1">
    <w:p w:rsidR="00B823F3" w:rsidRDefault="00B823F3" w:rsidP="00D70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046787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5E04EA" w:rsidRPr="00830DCA" w:rsidRDefault="00DF32E1">
        <w:pPr>
          <w:pStyle w:val="a8"/>
          <w:jc w:val="center"/>
          <w:rPr>
            <w:sz w:val="24"/>
          </w:rPr>
        </w:pPr>
        <w:r w:rsidRPr="00830DCA">
          <w:rPr>
            <w:sz w:val="24"/>
          </w:rPr>
          <w:fldChar w:fldCharType="begin"/>
        </w:r>
        <w:r w:rsidR="00331E34" w:rsidRPr="00830DCA">
          <w:rPr>
            <w:sz w:val="24"/>
          </w:rPr>
          <w:instrText xml:space="preserve"> PAGE   \* MERGEFORMAT </w:instrText>
        </w:r>
        <w:r w:rsidRPr="00830DCA">
          <w:rPr>
            <w:sz w:val="24"/>
          </w:rPr>
          <w:fldChar w:fldCharType="separate"/>
        </w:r>
        <w:r w:rsidR="00872A5C">
          <w:rPr>
            <w:noProof/>
            <w:sz w:val="24"/>
          </w:rPr>
          <w:t>1</w:t>
        </w:r>
        <w:r w:rsidRPr="00830DCA">
          <w:rPr>
            <w:sz w:val="24"/>
          </w:rPr>
          <w:fldChar w:fldCharType="end"/>
        </w:r>
      </w:p>
    </w:sdtContent>
  </w:sdt>
  <w:p w:rsidR="005E04EA" w:rsidRDefault="00B823F3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F33"/>
    <w:multiLevelType w:val="multilevel"/>
    <w:tmpl w:val="BFAC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80375"/>
    <w:multiLevelType w:val="multilevel"/>
    <w:tmpl w:val="8A94C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A1A81"/>
    <w:multiLevelType w:val="multilevel"/>
    <w:tmpl w:val="DD14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F0308"/>
    <w:multiLevelType w:val="multilevel"/>
    <w:tmpl w:val="F5DE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603661"/>
    <w:multiLevelType w:val="multilevel"/>
    <w:tmpl w:val="A9BA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A71BF"/>
    <w:multiLevelType w:val="multilevel"/>
    <w:tmpl w:val="F626C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547CA1"/>
    <w:multiLevelType w:val="multilevel"/>
    <w:tmpl w:val="0FE4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64123D"/>
    <w:multiLevelType w:val="hybridMultilevel"/>
    <w:tmpl w:val="ABA20582"/>
    <w:lvl w:ilvl="0" w:tplc="883033E8">
      <w:start w:val="1"/>
      <w:numFmt w:val="decimal"/>
      <w:lvlText w:val="%1."/>
      <w:lvlJc w:val="left"/>
      <w:pPr>
        <w:ind w:left="35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34C48A8">
      <w:start w:val="1"/>
      <w:numFmt w:val="upperRoman"/>
      <w:lvlText w:val="%2."/>
      <w:lvlJc w:val="left"/>
      <w:pPr>
        <w:ind w:left="4407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AB03BAC">
      <w:numFmt w:val="bullet"/>
      <w:lvlText w:val="•"/>
      <w:lvlJc w:val="left"/>
      <w:pPr>
        <w:ind w:left="5109" w:hanging="250"/>
      </w:pPr>
      <w:rPr>
        <w:rFonts w:hint="default"/>
        <w:lang w:val="ru-RU" w:eastAsia="en-US" w:bidi="ar-SA"/>
      </w:rPr>
    </w:lvl>
    <w:lvl w:ilvl="3" w:tplc="A162B4E6">
      <w:numFmt w:val="bullet"/>
      <w:lvlText w:val="•"/>
      <w:lvlJc w:val="left"/>
      <w:pPr>
        <w:ind w:left="5819" w:hanging="250"/>
      </w:pPr>
      <w:rPr>
        <w:rFonts w:hint="default"/>
        <w:lang w:val="ru-RU" w:eastAsia="en-US" w:bidi="ar-SA"/>
      </w:rPr>
    </w:lvl>
    <w:lvl w:ilvl="4" w:tplc="8954F91A">
      <w:numFmt w:val="bullet"/>
      <w:lvlText w:val="•"/>
      <w:lvlJc w:val="left"/>
      <w:pPr>
        <w:ind w:left="6528" w:hanging="250"/>
      </w:pPr>
      <w:rPr>
        <w:rFonts w:hint="default"/>
        <w:lang w:val="ru-RU" w:eastAsia="en-US" w:bidi="ar-SA"/>
      </w:rPr>
    </w:lvl>
    <w:lvl w:ilvl="5" w:tplc="EF900268">
      <w:numFmt w:val="bullet"/>
      <w:lvlText w:val="•"/>
      <w:lvlJc w:val="left"/>
      <w:pPr>
        <w:ind w:left="7238" w:hanging="250"/>
      </w:pPr>
      <w:rPr>
        <w:rFonts w:hint="default"/>
        <w:lang w:val="ru-RU" w:eastAsia="en-US" w:bidi="ar-SA"/>
      </w:rPr>
    </w:lvl>
    <w:lvl w:ilvl="6" w:tplc="9BD6F132">
      <w:numFmt w:val="bullet"/>
      <w:lvlText w:val="•"/>
      <w:lvlJc w:val="left"/>
      <w:pPr>
        <w:ind w:left="7948" w:hanging="250"/>
      </w:pPr>
      <w:rPr>
        <w:rFonts w:hint="default"/>
        <w:lang w:val="ru-RU" w:eastAsia="en-US" w:bidi="ar-SA"/>
      </w:rPr>
    </w:lvl>
    <w:lvl w:ilvl="7" w:tplc="908CC330">
      <w:numFmt w:val="bullet"/>
      <w:lvlText w:val="•"/>
      <w:lvlJc w:val="left"/>
      <w:pPr>
        <w:ind w:left="8657" w:hanging="250"/>
      </w:pPr>
      <w:rPr>
        <w:rFonts w:hint="default"/>
        <w:lang w:val="ru-RU" w:eastAsia="en-US" w:bidi="ar-SA"/>
      </w:rPr>
    </w:lvl>
    <w:lvl w:ilvl="8" w:tplc="7F9AB114">
      <w:numFmt w:val="bullet"/>
      <w:lvlText w:val="•"/>
      <w:lvlJc w:val="left"/>
      <w:pPr>
        <w:ind w:left="9367" w:hanging="250"/>
      </w:pPr>
      <w:rPr>
        <w:rFonts w:hint="default"/>
        <w:lang w:val="ru-RU" w:eastAsia="en-US" w:bidi="ar-SA"/>
      </w:rPr>
    </w:lvl>
  </w:abstractNum>
  <w:abstractNum w:abstractNumId="8">
    <w:nsid w:val="37EF149D"/>
    <w:multiLevelType w:val="multilevel"/>
    <w:tmpl w:val="05FA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F146C1"/>
    <w:multiLevelType w:val="multilevel"/>
    <w:tmpl w:val="3D960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BC75C6"/>
    <w:multiLevelType w:val="multilevel"/>
    <w:tmpl w:val="E822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B8116F"/>
    <w:multiLevelType w:val="multilevel"/>
    <w:tmpl w:val="0A58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637F66"/>
    <w:multiLevelType w:val="multilevel"/>
    <w:tmpl w:val="9B84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AD6FD6"/>
    <w:multiLevelType w:val="multilevel"/>
    <w:tmpl w:val="6C0C9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6144B3"/>
    <w:multiLevelType w:val="multilevel"/>
    <w:tmpl w:val="9312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947BBE"/>
    <w:multiLevelType w:val="multilevel"/>
    <w:tmpl w:val="EBBC4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425F81"/>
    <w:multiLevelType w:val="hybridMultilevel"/>
    <w:tmpl w:val="538EEC10"/>
    <w:lvl w:ilvl="0" w:tplc="C38A116E">
      <w:start w:val="1"/>
      <w:numFmt w:val="upperRoman"/>
      <w:lvlText w:val="%1."/>
      <w:lvlJc w:val="left"/>
      <w:pPr>
        <w:ind w:left="4407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7B254F4">
      <w:numFmt w:val="bullet"/>
      <w:lvlText w:val="•"/>
      <w:lvlJc w:val="left"/>
      <w:pPr>
        <w:ind w:left="5038" w:hanging="250"/>
      </w:pPr>
      <w:rPr>
        <w:rFonts w:hint="default"/>
        <w:lang w:val="ru-RU" w:eastAsia="en-US" w:bidi="ar-SA"/>
      </w:rPr>
    </w:lvl>
    <w:lvl w:ilvl="2" w:tplc="A87ACA0C">
      <w:numFmt w:val="bullet"/>
      <w:lvlText w:val="•"/>
      <w:lvlJc w:val="left"/>
      <w:pPr>
        <w:ind w:left="5677" w:hanging="250"/>
      </w:pPr>
      <w:rPr>
        <w:rFonts w:hint="default"/>
        <w:lang w:val="ru-RU" w:eastAsia="en-US" w:bidi="ar-SA"/>
      </w:rPr>
    </w:lvl>
    <w:lvl w:ilvl="3" w:tplc="B8D20306">
      <w:numFmt w:val="bullet"/>
      <w:lvlText w:val="•"/>
      <w:lvlJc w:val="left"/>
      <w:pPr>
        <w:ind w:left="6315" w:hanging="250"/>
      </w:pPr>
      <w:rPr>
        <w:rFonts w:hint="default"/>
        <w:lang w:val="ru-RU" w:eastAsia="en-US" w:bidi="ar-SA"/>
      </w:rPr>
    </w:lvl>
    <w:lvl w:ilvl="4" w:tplc="6DB67E54">
      <w:numFmt w:val="bullet"/>
      <w:lvlText w:val="•"/>
      <w:lvlJc w:val="left"/>
      <w:pPr>
        <w:ind w:left="6954" w:hanging="250"/>
      </w:pPr>
      <w:rPr>
        <w:rFonts w:hint="default"/>
        <w:lang w:val="ru-RU" w:eastAsia="en-US" w:bidi="ar-SA"/>
      </w:rPr>
    </w:lvl>
    <w:lvl w:ilvl="5" w:tplc="BB3A15B4">
      <w:numFmt w:val="bullet"/>
      <w:lvlText w:val="•"/>
      <w:lvlJc w:val="left"/>
      <w:pPr>
        <w:ind w:left="7593" w:hanging="250"/>
      </w:pPr>
      <w:rPr>
        <w:rFonts w:hint="default"/>
        <w:lang w:val="ru-RU" w:eastAsia="en-US" w:bidi="ar-SA"/>
      </w:rPr>
    </w:lvl>
    <w:lvl w:ilvl="6" w:tplc="D7020AF2">
      <w:numFmt w:val="bullet"/>
      <w:lvlText w:val="•"/>
      <w:lvlJc w:val="left"/>
      <w:pPr>
        <w:ind w:left="8231" w:hanging="250"/>
      </w:pPr>
      <w:rPr>
        <w:rFonts w:hint="default"/>
        <w:lang w:val="ru-RU" w:eastAsia="en-US" w:bidi="ar-SA"/>
      </w:rPr>
    </w:lvl>
    <w:lvl w:ilvl="7" w:tplc="20167242">
      <w:numFmt w:val="bullet"/>
      <w:lvlText w:val="•"/>
      <w:lvlJc w:val="left"/>
      <w:pPr>
        <w:ind w:left="8870" w:hanging="250"/>
      </w:pPr>
      <w:rPr>
        <w:rFonts w:hint="default"/>
        <w:lang w:val="ru-RU" w:eastAsia="en-US" w:bidi="ar-SA"/>
      </w:rPr>
    </w:lvl>
    <w:lvl w:ilvl="8" w:tplc="AF7EEA06">
      <w:numFmt w:val="bullet"/>
      <w:lvlText w:val="•"/>
      <w:lvlJc w:val="left"/>
      <w:pPr>
        <w:ind w:left="9509" w:hanging="25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6"/>
  </w:num>
  <w:num w:numId="3">
    <w:abstractNumId w:val="8"/>
  </w:num>
  <w:num w:numId="4">
    <w:abstractNumId w:val="0"/>
  </w:num>
  <w:num w:numId="5">
    <w:abstractNumId w:val="15"/>
  </w:num>
  <w:num w:numId="6">
    <w:abstractNumId w:val="5"/>
  </w:num>
  <w:num w:numId="7">
    <w:abstractNumId w:val="6"/>
  </w:num>
  <w:num w:numId="8">
    <w:abstractNumId w:val="4"/>
  </w:num>
  <w:num w:numId="9">
    <w:abstractNumId w:val="3"/>
  </w:num>
  <w:num w:numId="10">
    <w:abstractNumId w:val="12"/>
  </w:num>
  <w:num w:numId="11">
    <w:abstractNumId w:val="1"/>
  </w:num>
  <w:num w:numId="12">
    <w:abstractNumId w:val="14"/>
  </w:num>
  <w:num w:numId="13">
    <w:abstractNumId w:val="11"/>
  </w:num>
  <w:num w:numId="14">
    <w:abstractNumId w:val="9"/>
  </w:num>
  <w:num w:numId="15">
    <w:abstractNumId w:val="13"/>
  </w:num>
  <w:num w:numId="16">
    <w:abstractNumId w:val="2"/>
  </w:num>
  <w:num w:numId="17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5FDB"/>
    <w:rsid w:val="001A618D"/>
    <w:rsid w:val="002C3005"/>
    <w:rsid w:val="00331E34"/>
    <w:rsid w:val="003C4F53"/>
    <w:rsid w:val="004B5FDB"/>
    <w:rsid w:val="00602A79"/>
    <w:rsid w:val="006031AF"/>
    <w:rsid w:val="00747970"/>
    <w:rsid w:val="007C3D57"/>
    <w:rsid w:val="00872A5C"/>
    <w:rsid w:val="009B4B60"/>
    <w:rsid w:val="00A90668"/>
    <w:rsid w:val="00A913E6"/>
    <w:rsid w:val="00B41273"/>
    <w:rsid w:val="00B67FA8"/>
    <w:rsid w:val="00B823F3"/>
    <w:rsid w:val="00D70BEA"/>
    <w:rsid w:val="00DF32E1"/>
    <w:rsid w:val="00F5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668"/>
  </w:style>
  <w:style w:type="paragraph" w:styleId="1">
    <w:name w:val="heading 1"/>
    <w:basedOn w:val="a"/>
    <w:next w:val="a"/>
    <w:link w:val="10"/>
    <w:uiPriority w:val="9"/>
    <w:qFormat/>
    <w:rsid w:val="004B5FDB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FDB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A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F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B5F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B5FD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B5FDB"/>
    <w:pPr>
      <w:widowControl w:val="0"/>
      <w:autoSpaceDE w:val="0"/>
      <w:autoSpaceDN w:val="0"/>
      <w:spacing w:after="0" w:line="240" w:lineRule="auto"/>
      <w:ind w:left="352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B5FD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4B5FDB"/>
    <w:pPr>
      <w:widowControl w:val="0"/>
      <w:autoSpaceDE w:val="0"/>
      <w:autoSpaceDN w:val="0"/>
      <w:spacing w:after="0" w:line="240" w:lineRule="auto"/>
      <w:ind w:left="25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4B5FDB"/>
    <w:pPr>
      <w:widowControl w:val="0"/>
      <w:autoSpaceDE w:val="0"/>
      <w:autoSpaceDN w:val="0"/>
      <w:spacing w:after="0" w:line="240" w:lineRule="auto"/>
      <w:ind w:left="352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B5F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B5F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4B5FDB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unhideWhenUsed/>
    <w:rsid w:val="004B5FD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B5FDB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4B5FD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4B5FDB"/>
    <w:rPr>
      <w:rFonts w:ascii="Times New Roman" w:eastAsia="Times New Roman" w:hAnsi="Times New Roman" w:cs="Times New Roman"/>
      <w:lang w:eastAsia="en-US"/>
    </w:rPr>
  </w:style>
  <w:style w:type="character" w:styleId="ac">
    <w:name w:val="Strong"/>
    <w:basedOn w:val="a0"/>
    <w:uiPriority w:val="22"/>
    <w:qFormat/>
    <w:rsid w:val="00602A79"/>
    <w:rPr>
      <w:b/>
      <w:bCs/>
    </w:rPr>
  </w:style>
  <w:style w:type="character" w:styleId="ad">
    <w:name w:val="Hyperlink"/>
    <w:basedOn w:val="a0"/>
    <w:uiPriority w:val="99"/>
    <w:semiHidden/>
    <w:unhideWhenUsed/>
    <w:rsid w:val="00602A79"/>
    <w:rPr>
      <w:color w:val="0000FF"/>
      <w:u w:val="single"/>
    </w:rPr>
  </w:style>
  <w:style w:type="character" w:customStyle="1" w:styleId="inqyif">
    <w:name w:val="inqyif"/>
    <w:basedOn w:val="a0"/>
    <w:rsid w:val="00602A79"/>
  </w:style>
  <w:style w:type="character" w:customStyle="1" w:styleId="esfokc">
    <w:name w:val="esfokc"/>
    <w:basedOn w:val="a0"/>
    <w:rsid w:val="00602A79"/>
  </w:style>
  <w:style w:type="character" w:customStyle="1" w:styleId="hxiqcc">
    <w:name w:val="hxiqcc"/>
    <w:basedOn w:val="a0"/>
    <w:rsid w:val="00602A79"/>
  </w:style>
  <w:style w:type="character" w:customStyle="1" w:styleId="i6hkm">
    <w:name w:val="i6hkm"/>
    <w:basedOn w:val="a0"/>
    <w:rsid w:val="00602A79"/>
  </w:style>
  <w:style w:type="character" w:customStyle="1" w:styleId="vndci">
    <w:name w:val="vndci"/>
    <w:basedOn w:val="a0"/>
    <w:rsid w:val="00602A79"/>
  </w:style>
  <w:style w:type="character" w:styleId="ae">
    <w:name w:val="Emphasis"/>
    <w:basedOn w:val="a0"/>
    <w:uiPriority w:val="20"/>
    <w:qFormat/>
    <w:rsid w:val="00602A7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72A5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Normal (Web)"/>
    <w:basedOn w:val="a"/>
    <w:uiPriority w:val="99"/>
    <w:semiHidden/>
    <w:unhideWhenUsed/>
    <w:rsid w:val="008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9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97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42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99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74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97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457696">
                                                  <w:marLeft w:val="0"/>
                                                  <w:marRight w:val="0"/>
                                                  <w:marTop w:val="139"/>
                                                  <w:marBottom w:val="18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3702249">
                                                  <w:marLeft w:val="0"/>
                                                  <w:marRight w:val="0"/>
                                                  <w:marTop w:val="279"/>
                                                  <w:marBottom w:val="13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4582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055298">
                                                      <w:marLeft w:val="0"/>
                                                      <w:marRight w:val="0"/>
                                                      <w:marTop w:val="139"/>
                                                      <w:marBottom w:val="18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156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104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109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813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596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4" w:space="0" w:color="DCDF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965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971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2978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4268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4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749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242002">
                                                                          <w:marLeft w:val="58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0632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527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94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6916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4885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8946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458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333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265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4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8499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6565705">
                                                                          <w:marLeft w:val="58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9672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829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277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3111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6999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500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1834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4256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4" w:space="0" w:color="DCDFE5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818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4364778">
                                                                          <w:marLeft w:val="58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8366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022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6670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2159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554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090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6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4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5086">
                          <w:marLeft w:val="60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68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32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5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4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7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65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476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668869">
                                              <w:marLeft w:val="0"/>
                                              <w:marRight w:val="0"/>
                                              <w:marTop w:val="139"/>
                                              <w:marBottom w:val="18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436491">
                                              <w:marLeft w:val="0"/>
                                              <w:marRight w:val="0"/>
                                              <w:marTop w:val="279"/>
                                              <w:marBottom w:val="13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7468985">
                                              <w:marLeft w:val="0"/>
                                              <w:marRight w:val="0"/>
                                              <w:marTop w:val="279"/>
                                              <w:marBottom w:val="13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110174">
                                              <w:marLeft w:val="0"/>
                                              <w:marRight w:val="0"/>
                                              <w:marTop w:val="139"/>
                                              <w:marBottom w:val="18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072847">
                                              <w:marLeft w:val="0"/>
                                              <w:marRight w:val="0"/>
                                              <w:marTop w:val="279"/>
                                              <w:marBottom w:val="13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484624">
                                              <w:marLeft w:val="0"/>
                                              <w:marRight w:val="0"/>
                                              <w:marTop w:val="279"/>
                                              <w:marBottom w:val="13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167149">
                                              <w:blockQuote w:val="1"/>
                                              <w:marLeft w:val="465"/>
                                              <w:marRight w:val="465"/>
                                              <w:marTop w:val="4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37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2710541">
                                                  <w:marLeft w:val="0"/>
                                                  <w:marRight w:val="0"/>
                                                  <w:marTop w:val="139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930385">
                                              <w:blockQuote w:val="1"/>
                                              <w:marLeft w:val="465"/>
                                              <w:marRight w:val="465"/>
                                              <w:marTop w:val="4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59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5526027">
                                              <w:marLeft w:val="0"/>
                                              <w:marRight w:val="0"/>
                                              <w:marTop w:val="279"/>
                                              <w:marBottom w:val="13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5008591">
                                              <w:blockQuote w:val="1"/>
                                              <w:marLeft w:val="465"/>
                                              <w:marRight w:val="465"/>
                                              <w:marTop w:val="4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76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1243183">
                                              <w:blockQuote w:val="1"/>
                                              <w:marLeft w:val="465"/>
                                              <w:marRight w:val="465"/>
                                              <w:marTop w:val="4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129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7264033">
                                              <w:marLeft w:val="0"/>
                                              <w:marRight w:val="0"/>
                                              <w:marTop w:val="279"/>
                                              <w:marBottom w:val="13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4109740">
                                              <w:blockQuote w:val="1"/>
                                              <w:marLeft w:val="465"/>
                                              <w:marRight w:val="465"/>
                                              <w:marTop w:val="4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56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7348642">
                                              <w:blockQuote w:val="1"/>
                                              <w:marLeft w:val="465"/>
                                              <w:marRight w:val="465"/>
                                              <w:marTop w:val="4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971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-stgt.ru/mod/quiz/view.php?id=666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-stgt.ru/mod/lesson/view.php?id=6675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-stgt.ru/mod/quiz/view.php?id=666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-stgt.ru/mod/quiz/view.php?id=66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-stgt.ru/mod/quiz/view.php?id=66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1719</Words>
  <Characters>9802</Characters>
  <Application>Microsoft Office Word</Application>
  <DocSecurity>0</DocSecurity>
  <Lines>81</Lines>
  <Paragraphs>22</Paragraphs>
  <ScaleCrop>false</ScaleCrop>
  <Company/>
  <LinksUpToDate>false</LinksUpToDate>
  <CharactersWithSpaces>11499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2026-08-06T18:03:00Z</dcterms:created>
  <dcterms:modified xsi:type="dcterms:W3CDTF">2026-09-07T01:59:00Z</dcterms:modified>
</cp:coreProperties>
</file>