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866F81" w14:textId="49128662" w:rsidR="00AC43D5" w:rsidRPr="00687490" w:rsidRDefault="00AC43D5" w:rsidP="001704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646464"/>
          <w:sz w:val="28"/>
          <w:szCs w:val="28"/>
          <w:lang w:eastAsia="ru-RU"/>
        </w:rPr>
      </w:pPr>
      <w:r w:rsidRPr="00687490">
        <w:rPr>
          <w:rFonts w:ascii="Times New Roman" w:eastAsia="Times New Roman" w:hAnsi="Times New Roman" w:cs="Times New Roman"/>
          <w:b/>
          <w:bCs/>
          <w:color w:val="646464"/>
          <w:sz w:val="28"/>
          <w:szCs w:val="28"/>
          <w:lang w:eastAsia="ru-RU"/>
        </w:rPr>
        <w:t>Габарит</w:t>
      </w:r>
    </w:p>
    <w:p w14:paraId="67450E53" w14:textId="2D42805F" w:rsidR="00AC43D5" w:rsidRPr="00687490" w:rsidRDefault="00AC43D5" w:rsidP="001704C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r w:rsidRPr="00687490">
        <w:rPr>
          <w:rFonts w:ascii="Times New Roman" w:eastAsia="Times New Roman" w:hAnsi="Times New Roman" w:cs="Times New Roman"/>
          <w:b/>
          <w:bCs/>
          <w:color w:val="646464"/>
          <w:sz w:val="28"/>
          <w:szCs w:val="28"/>
          <w:lang w:eastAsia="ru-RU"/>
        </w:rPr>
        <w:t>Габарит</w:t>
      </w:r>
      <w:r w:rsidRPr="00687490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– это внешнее геометрическое очертание</w:t>
      </w:r>
      <w:r w:rsidR="00D225DB" w:rsidRPr="00687490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.</w:t>
      </w:r>
    </w:p>
    <w:p w14:paraId="13C93C81" w14:textId="77777777" w:rsidR="00AC43D5" w:rsidRPr="00687490" w:rsidRDefault="00AC43D5" w:rsidP="001704C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r w:rsidRPr="00687490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На сети железных дорог существуют следующие виды габаритов:</w:t>
      </w:r>
    </w:p>
    <w:p w14:paraId="5F436B74" w14:textId="1FA33054" w:rsidR="00AC43D5" w:rsidRPr="00AC43D5" w:rsidRDefault="00AC43D5" w:rsidP="001704C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r w:rsidRPr="00687490">
        <w:rPr>
          <w:rFonts w:ascii="Times New Roman" w:eastAsia="Times New Roman" w:hAnsi="Times New Roman" w:cs="Times New Roman"/>
          <w:i/>
          <w:iCs/>
          <w:color w:val="646464"/>
          <w:sz w:val="28"/>
          <w:szCs w:val="28"/>
          <w:lang w:eastAsia="ru-RU"/>
        </w:rPr>
        <w:t>1</w:t>
      </w:r>
      <w:r w:rsidRPr="00687490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</w:t>
      </w:r>
      <w:r w:rsidRPr="00AC43D5">
        <w:rPr>
          <w:rFonts w:ascii="Times New Roman" w:eastAsia="Times New Roman" w:hAnsi="Times New Roman" w:cs="Times New Roman"/>
          <w:b/>
          <w:bCs/>
          <w:i/>
          <w:iCs/>
          <w:color w:val="646464"/>
          <w:sz w:val="28"/>
          <w:szCs w:val="28"/>
          <w:lang w:eastAsia="ru-RU"/>
        </w:rPr>
        <w:t>Габаритом приближения строений</w:t>
      </w:r>
      <w:r w:rsidRPr="00AC43D5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 </w:t>
      </w:r>
      <w:r w:rsidRPr="00687490">
        <w:rPr>
          <w:rFonts w:ascii="Times New Roman" w:eastAsia="Times New Roman" w:hAnsi="Times New Roman" w:cs="Times New Roman"/>
          <w:i/>
          <w:iCs/>
          <w:color w:val="646464"/>
          <w:sz w:val="28"/>
          <w:szCs w:val="28"/>
          <w:lang w:eastAsia="ru-RU"/>
        </w:rPr>
        <w:t>(СП)</w:t>
      </w:r>
      <w:r w:rsidRPr="00687490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- </w:t>
      </w:r>
      <w:r w:rsidRPr="00AC43D5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называется предельное поперечное (перпендикулярное оси пути) очертание, внутрь которого, помимо подвижного состава, не должны заходить никакие части сооружений и устройств. Исключение составляют лишь те устройства, которые предназначены для непосредственного взаимодействия их с подвижным составом (вагонные замедлители в рабочем состоянии, контактные провода с деталями крепления, поворачивающаяся часть колонки при наборе воды и др.).</w:t>
      </w:r>
    </w:p>
    <w:p w14:paraId="4E2006A8" w14:textId="09FF1AA4" w:rsidR="00D225DB" w:rsidRPr="00687490" w:rsidRDefault="000B7A39" w:rsidP="001704C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r w:rsidRPr="00687490">
        <w:rPr>
          <w:rFonts w:ascii="Times New Roman" w:eastAsia="Times New Roman" w:hAnsi="Times New Roman" w:cs="Times New Roman"/>
          <w:b/>
          <w:bCs/>
          <w:i/>
          <w:iCs/>
          <w:color w:val="646464"/>
          <w:sz w:val="28"/>
          <w:szCs w:val="28"/>
          <w:lang w:eastAsia="ru-RU"/>
        </w:rPr>
        <w:t>2</w:t>
      </w:r>
      <w:r w:rsidRPr="00687490">
        <w:rPr>
          <w:rFonts w:ascii="Times New Roman" w:eastAsia="Times New Roman" w:hAnsi="Times New Roman" w:cs="Times New Roman"/>
          <w:i/>
          <w:iCs/>
          <w:color w:val="646464"/>
          <w:sz w:val="28"/>
          <w:szCs w:val="28"/>
          <w:lang w:eastAsia="ru-RU"/>
        </w:rPr>
        <w:t xml:space="preserve"> </w:t>
      </w:r>
      <w:r w:rsidR="00AC43D5" w:rsidRPr="00AC43D5">
        <w:rPr>
          <w:rFonts w:ascii="Times New Roman" w:eastAsia="Times New Roman" w:hAnsi="Times New Roman" w:cs="Times New Roman"/>
          <w:b/>
          <w:bCs/>
          <w:i/>
          <w:iCs/>
          <w:color w:val="646464"/>
          <w:sz w:val="28"/>
          <w:szCs w:val="28"/>
          <w:lang w:eastAsia="ru-RU"/>
        </w:rPr>
        <w:t>Габаритом подвижного состава</w:t>
      </w:r>
      <w:r w:rsidR="00AC43D5" w:rsidRPr="00AC43D5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 </w:t>
      </w:r>
      <w:r w:rsidRPr="00687490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</w:t>
      </w:r>
      <w:r w:rsidRPr="00687490">
        <w:rPr>
          <w:rFonts w:ascii="Times New Roman" w:eastAsia="Times New Roman" w:hAnsi="Times New Roman" w:cs="Times New Roman"/>
          <w:i/>
          <w:iCs/>
          <w:color w:val="646464"/>
          <w:sz w:val="28"/>
          <w:szCs w:val="28"/>
          <w:lang w:eastAsia="ru-RU"/>
        </w:rPr>
        <w:t>(Т)</w:t>
      </w:r>
      <w:r w:rsidRPr="00687490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- </w:t>
      </w:r>
      <w:r w:rsidR="00AC43D5" w:rsidRPr="00AC43D5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называется предельное поперечное (перпендикулярное оси пути) очертание, в котором, не выходя наружу, должен помещаться как груженый, так и порожний подвижной состав, установленный на прямом горизонтальном пути.</w:t>
      </w:r>
    </w:p>
    <w:p w14:paraId="66D5A626" w14:textId="77777777" w:rsidR="00687490" w:rsidRPr="00687490" w:rsidRDefault="00D225DB" w:rsidP="001704C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r w:rsidRPr="00687490">
        <w:rPr>
          <w:rFonts w:ascii="Times New Roman" w:eastAsia="Times New Roman" w:hAnsi="Times New Roman" w:cs="Times New Roman"/>
          <w:b/>
          <w:bCs/>
          <w:i/>
          <w:iCs/>
          <w:color w:val="646464"/>
          <w:sz w:val="28"/>
          <w:szCs w:val="28"/>
          <w:lang w:eastAsia="ru-RU"/>
        </w:rPr>
        <w:t xml:space="preserve">3 Габарит погрузки </w:t>
      </w:r>
      <w:r w:rsidRPr="00687490">
        <w:rPr>
          <w:rFonts w:ascii="Times New Roman" w:eastAsia="Times New Roman" w:hAnsi="Times New Roman" w:cs="Times New Roman"/>
          <w:i/>
          <w:iCs/>
          <w:color w:val="646464"/>
          <w:sz w:val="28"/>
          <w:szCs w:val="28"/>
          <w:lang w:eastAsia="ru-RU"/>
        </w:rPr>
        <w:t xml:space="preserve">(П) - </w:t>
      </w:r>
      <w:r w:rsidRPr="00AC43D5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называется предельное поперечное (перпендикулярное оси пути) очертание,</w:t>
      </w:r>
      <w:r w:rsidRPr="00687490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в котором, не выходя наружу, должен размещаться груз (с учетом упаковки и крепления) на открытом подвижном составе, находящемся на прямом горизонтальном пути.</w:t>
      </w:r>
    </w:p>
    <w:p w14:paraId="620F15C4" w14:textId="6F8E2777" w:rsidR="00D225DB" w:rsidRPr="00687490" w:rsidRDefault="00687490" w:rsidP="001704C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490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Грузы, которые выходят за очертания габарита погрузки, считаются </w:t>
      </w:r>
      <w:r w:rsidRPr="00687490">
        <w:rPr>
          <w:rFonts w:ascii="Times New Roman" w:eastAsia="Times New Roman" w:hAnsi="Times New Roman" w:cs="Times New Roman"/>
          <w:b/>
          <w:bCs/>
          <w:color w:val="646464"/>
          <w:sz w:val="28"/>
          <w:szCs w:val="28"/>
          <w:lang w:eastAsia="ru-RU"/>
        </w:rPr>
        <w:t xml:space="preserve">негабаритными. </w:t>
      </w:r>
      <w:r w:rsidRPr="00687490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В зависимости от высоты, н которой груз выходит за габарит погрузки, установлены </w:t>
      </w:r>
      <w:r w:rsidRPr="00687490">
        <w:rPr>
          <w:rFonts w:ascii="Times New Roman" w:eastAsia="Times New Roman" w:hAnsi="Times New Roman" w:cs="Times New Roman"/>
          <w:i/>
          <w:iCs/>
          <w:color w:val="646464"/>
          <w:sz w:val="28"/>
          <w:szCs w:val="28"/>
          <w:lang w:eastAsia="ru-RU"/>
        </w:rPr>
        <w:t xml:space="preserve">зоны </w:t>
      </w:r>
      <w:proofErr w:type="spellStart"/>
      <w:r w:rsidRPr="00687490">
        <w:rPr>
          <w:rFonts w:ascii="Times New Roman" w:eastAsia="Times New Roman" w:hAnsi="Times New Roman" w:cs="Times New Roman"/>
          <w:i/>
          <w:iCs/>
          <w:color w:val="646464"/>
          <w:sz w:val="28"/>
          <w:szCs w:val="28"/>
          <w:lang w:eastAsia="ru-RU"/>
        </w:rPr>
        <w:t>негабаритности</w:t>
      </w:r>
      <w:proofErr w:type="spellEnd"/>
      <w:r w:rsidRPr="00687490">
        <w:rPr>
          <w:rFonts w:ascii="Times New Roman" w:eastAsia="Times New Roman" w:hAnsi="Times New Roman" w:cs="Times New Roman"/>
          <w:i/>
          <w:iCs/>
          <w:color w:val="646464"/>
          <w:sz w:val="28"/>
          <w:szCs w:val="28"/>
          <w:lang w:eastAsia="ru-RU"/>
        </w:rPr>
        <w:t xml:space="preserve">: нижней, боковой </w:t>
      </w:r>
      <w:r w:rsidRPr="00687490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и </w:t>
      </w:r>
      <w:r w:rsidRPr="00687490">
        <w:rPr>
          <w:rFonts w:ascii="Times New Roman" w:eastAsia="Times New Roman" w:hAnsi="Times New Roman" w:cs="Times New Roman"/>
          <w:i/>
          <w:iCs/>
          <w:color w:val="646464"/>
          <w:sz w:val="28"/>
          <w:szCs w:val="28"/>
          <w:lang w:eastAsia="ru-RU"/>
        </w:rPr>
        <w:t xml:space="preserve">верхней. </w:t>
      </w:r>
      <w:r w:rsidRPr="00687490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В зависимости от величины выхода груза за габарит погрузки в указанных зонах </w:t>
      </w:r>
      <w:proofErr w:type="spellStart"/>
      <w:r w:rsidRPr="00687490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негабаритности</w:t>
      </w:r>
      <w:proofErr w:type="spellEnd"/>
      <w:r w:rsidRPr="00687490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выделяют </w:t>
      </w:r>
      <w:r w:rsidRPr="00687490">
        <w:rPr>
          <w:rFonts w:ascii="Times New Roman" w:eastAsia="Times New Roman" w:hAnsi="Times New Roman" w:cs="Times New Roman"/>
          <w:b/>
          <w:bCs/>
          <w:color w:val="646464"/>
          <w:sz w:val="28"/>
          <w:szCs w:val="28"/>
          <w:lang w:eastAsia="ru-RU"/>
        </w:rPr>
        <w:t xml:space="preserve">степени </w:t>
      </w:r>
      <w:proofErr w:type="spellStart"/>
      <w:r w:rsidRPr="00687490">
        <w:rPr>
          <w:rFonts w:ascii="Times New Roman" w:eastAsia="Times New Roman" w:hAnsi="Times New Roman" w:cs="Times New Roman"/>
          <w:b/>
          <w:bCs/>
          <w:color w:val="646464"/>
          <w:sz w:val="28"/>
          <w:szCs w:val="28"/>
          <w:lang w:eastAsia="ru-RU"/>
        </w:rPr>
        <w:t>негабаритности</w:t>
      </w:r>
      <w:proofErr w:type="spellEnd"/>
      <w:r w:rsidRPr="00687490">
        <w:rPr>
          <w:rFonts w:ascii="Times New Roman" w:eastAsia="Times New Roman" w:hAnsi="Times New Roman" w:cs="Times New Roman"/>
          <w:b/>
          <w:bCs/>
          <w:color w:val="646464"/>
          <w:sz w:val="28"/>
          <w:szCs w:val="28"/>
          <w:lang w:eastAsia="ru-RU"/>
        </w:rPr>
        <w:t xml:space="preserve">: 6 степеней нижней </w:t>
      </w:r>
      <w:proofErr w:type="spellStart"/>
      <w:r w:rsidRPr="00687490">
        <w:rPr>
          <w:rFonts w:ascii="Times New Roman" w:eastAsia="Times New Roman" w:hAnsi="Times New Roman" w:cs="Times New Roman"/>
          <w:b/>
          <w:bCs/>
          <w:color w:val="646464"/>
          <w:sz w:val="28"/>
          <w:szCs w:val="28"/>
          <w:lang w:eastAsia="ru-RU"/>
        </w:rPr>
        <w:t>негабаритности</w:t>
      </w:r>
      <w:proofErr w:type="spellEnd"/>
      <w:r w:rsidRPr="00687490">
        <w:rPr>
          <w:rFonts w:ascii="Times New Roman" w:eastAsia="Times New Roman" w:hAnsi="Times New Roman" w:cs="Times New Roman"/>
          <w:b/>
          <w:bCs/>
          <w:color w:val="646464"/>
          <w:sz w:val="28"/>
          <w:szCs w:val="28"/>
          <w:lang w:eastAsia="ru-RU"/>
        </w:rPr>
        <w:t xml:space="preserve">; 6 степеней боковой </w:t>
      </w:r>
      <w:proofErr w:type="spellStart"/>
      <w:r w:rsidRPr="00687490">
        <w:rPr>
          <w:rFonts w:ascii="Times New Roman" w:eastAsia="Times New Roman" w:hAnsi="Times New Roman" w:cs="Times New Roman"/>
          <w:b/>
          <w:bCs/>
          <w:color w:val="646464"/>
          <w:sz w:val="28"/>
          <w:szCs w:val="28"/>
          <w:lang w:eastAsia="ru-RU"/>
        </w:rPr>
        <w:t>негабаритности</w:t>
      </w:r>
      <w:proofErr w:type="spellEnd"/>
      <w:r w:rsidRPr="00687490">
        <w:rPr>
          <w:rFonts w:ascii="Times New Roman" w:eastAsia="Times New Roman" w:hAnsi="Times New Roman" w:cs="Times New Roman"/>
          <w:b/>
          <w:bCs/>
          <w:color w:val="646464"/>
          <w:sz w:val="28"/>
          <w:szCs w:val="28"/>
          <w:lang w:eastAsia="ru-RU"/>
        </w:rPr>
        <w:t xml:space="preserve"> </w:t>
      </w:r>
      <w:r w:rsidRPr="00687490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и </w:t>
      </w:r>
      <w:r w:rsidRPr="00687490">
        <w:rPr>
          <w:rFonts w:ascii="Times New Roman" w:eastAsia="Times New Roman" w:hAnsi="Times New Roman" w:cs="Times New Roman"/>
          <w:b/>
          <w:bCs/>
          <w:color w:val="646464"/>
          <w:sz w:val="28"/>
          <w:szCs w:val="28"/>
          <w:lang w:eastAsia="ru-RU"/>
        </w:rPr>
        <w:t xml:space="preserve">3 степени верхней </w:t>
      </w:r>
      <w:proofErr w:type="spellStart"/>
      <w:r w:rsidRPr="00687490">
        <w:rPr>
          <w:rFonts w:ascii="Times New Roman" w:eastAsia="Times New Roman" w:hAnsi="Times New Roman" w:cs="Times New Roman"/>
          <w:b/>
          <w:bCs/>
          <w:color w:val="646464"/>
          <w:sz w:val="28"/>
          <w:szCs w:val="28"/>
          <w:lang w:eastAsia="ru-RU"/>
        </w:rPr>
        <w:t>негабаритности</w:t>
      </w:r>
      <w:proofErr w:type="spellEnd"/>
      <w:r w:rsidRPr="00687490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. Грузы, </w:t>
      </w:r>
      <w:proofErr w:type="spellStart"/>
      <w:r w:rsidRPr="00687490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привышающие</w:t>
      </w:r>
      <w:proofErr w:type="spellEnd"/>
      <w:r w:rsidRPr="00687490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 установленные пределы </w:t>
      </w:r>
      <w:proofErr w:type="spellStart"/>
      <w:r w:rsidRPr="00687490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>негабаритности</w:t>
      </w:r>
      <w:proofErr w:type="spellEnd"/>
      <w:r w:rsidRPr="00687490"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  <w:t xml:space="preserve">, считаются </w:t>
      </w:r>
      <w:proofErr w:type="spellStart"/>
      <w:r w:rsidRPr="00687490">
        <w:rPr>
          <w:rFonts w:ascii="Times New Roman" w:eastAsia="Times New Roman" w:hAnsi="Times New Roman" w:cs="Times New Roman"/>
          <w:b/>
          <w:bCs/>
          <w:color w:val="646464"/>
          <w:sz w:val="28"/>
          <w:szCs w:val="28"/>
          <w:lang w:eastAsia="ru-RU"/>
        </w:rPr>
        <w:t>сверхнегабаритными</w:t>
      </w:r>
      <w:proofErr w:type="spellEnd"/>
      <w:r w:rsidRPr="00687490">
        <w:rPr>
          <w:rFonts w:ascii="Times New Roman" w:eastAsia="Times New Roman" w:hAnsi="Times New Roman" w:cs="Times New Roman"/>
          <w:b/>
          <w:bCs/>
          <w:color w:val="646464"/>
          <w:sz w:val="28"/>
          <w:szCs w:val="28"/>
          <w:lang w:eastAsia="ru-RU"/>
        </w:rPr>
        <w:t xml:space="preserve">. </w:t>
      </w:r>
    </w:p>
    <w:p w14:paraId="3B8CE143" w14:textId="1F84FEBA" w:rsidR="00687490" w:rsidRDefault="00687490" w:rsidP="001704C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8749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Габарит воздушных линий - </w:t>
      </w:r>
      <w:r w:rsidRPr="0068749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предельные расстояния от проводов и опор </w:t>
      </w:r>
      <w:r w:rsidRPr="002D657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воздушных</w:t>
      </w:r>
      <w:r w:rsidRPr="002D6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D657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линий</w:t>
      </w:r>
      <w:r w:rsidRPr="0068749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до поверхности головки рельса, а также от земли до разл</w:t>
      </w:r>
      <w:r w:rsidR="004654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ичных</w:t>
      </w:r>
      <w:r w:rsidRPr="0068749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сооружений и устройств.</w:t>
      </w:r>
      <w:bookmarkStart w:id="0" w:name="_GoBack"/>
      <w:bookmarkEnd w:id="0"/>
    </w:p>
    <w:p w14:paraId="2A93898F" w14:textId="49C195F8" w:rsidR="0046544F" w:rsidRDefault="0046544F" w:rsidP="001704C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5 Габарит проезда в тоннелях - </w:t>
      </w:r>
      <w:r w:rsidRPr="004654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предельное поперечное очертание свободного пространства </w:t>
      </w:r>
      <w:r w:rsidRPr="0046544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</w:t>
      </w:r>
      <w:r w:rsidRPr="004654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46544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тоннеле</w:t>
      </w:r>
      <w:r w:rsidRPr="004654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внутрь к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ото</w:t>
      </w:r>
      <w:r w:rsidRPr="004654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рого кроме подвижного состава или транспортных средств не должны заходить никакие части тоннельных конструкций и устройств, за исключением элементов, вступающих во взаимодействие с подвижным составом.</w:t>
      </w:r>
    </w:p>
    <w:p w14:paraId="22A33A37" w14:textId="5DD122C3" w:rsidR="0046544F" w:rsidRDefault="0046544F" w:rsidP="001704C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6544F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6 </w:t>
      </w:r>
      <w:r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Габарит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подмостовой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 - </w:t>
      </w:r>
      <w:r w:rsidRPr="004654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это предельное перпендикулярное продольной оси проезжей части очертание </w:t>
      </w:r>
      <w:proofErr w:type="spellStart"/>
      <w:r w:rsidRPr="0046544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подмостового</w:t>
      </w:r>
      <w:proofErr w:type="spellEnd"/>
      <w:r w:rsidRPr="004654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пространства, предназначенного для пропуска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поездов, автомобилей, </w:t>
      </w:r>
      <w:r w:rsidRPr="004654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судов, внутрь которого не должны заходить элементы конструкций моста и расположенные на нем устройства, включая навигационные знаки.</w:t>
      </w:r>
    </w:p>
    <w:p w14:paraId="52E856E5" w14:textId="63B756D3" w:rsidR="001704C3" w:rsidRPr="00D225DB" w:rsidRDefault="001704C3" w:rsidP="001704C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64646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646464"/>
          <w:sz w:val="28"/>
          <w:szCs w:val="28"/>
          <w:lang w:eastAsia="ru-RU"/>
        </w:rPr>
        <w:lastRenderedPageBreak/>
        <w:drawing>
          <wp:inline distT="0" distB="0" distL="0" distR="0" wp14:anchorId="15B6B7BE" wp14:editId="4A9D1E1F">
            <wp:extent cx="2469002" cy="5409743"/>
            <wp:effectExtent l="0" t="3493" r="4128" b="4127"/>
            <wp:docPr id="2" name="Рисунок 2" descr="H:\1667630426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16676304265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17" t="4389" r="9568" b="12620"/>
                    <a:stretch/>
                  </pic:blipFill>
                  <pic:spPr bwMode="auto">
                    <a:xfrm rot="5400000">
                      <a:off x="0" y="0"/>
                      <a:ext cx="2481151" cy="5436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E284F4" w14:textId="66BA3078" w:rsidR="000B7A39" w:rsidRPr="0046544F" w:rsidRDefault="00F52093" w:rsidP="001704C3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646464"/>
          <w:sz w:val="28"/>
          <w:szCs w:val="28"/>
          <w:lang w:eastAsia="ru-RU"/>
        </w:rPr>
        <w:drawing>
          <wp:inline distT="0" distB="0" distL="0" distR="0" wp14:anchorId="0FE267C1" wp14:editId="30C7C20D">
            <wp:extent cx="6456654" cy="4561813"/>
            <wp:effectExtent l="0" t="5080" r="0" b="0"/>
            <wp:docPr id="1" name="Рисунок 1" descr="H:\1667630426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16676304265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7" t="3722" r="3488" b="8244"/>
                    <a:stretch/>
                  </pic:blipFill>
                  <pic:spPr bwMode="auto">
                    <a:xfrm rot="5400000">
                      <a:off x="0" y="0"/>
                      <a:ext cx="6473041" cy="4573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B7A39" w:rsidRPr="0046544F" w:rsidSect="001704C3">
      <w:pgSz w:w="11906" w:h="16838"/>
      <w:pgMar w:top="568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D29D8"/>
    <w:multiLevelType w:val="multilevel"/>
    <w:tmpl w:val="0DE0C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7A7F8C"/>
    <w:multiLevelType w:val="multilevel"/>
    <w:tmpl w:val="FB00B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A743E6"/>
    <w:multiLevelType w:val="multilevel"/>
    <w:tmpl w:val="1734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3C0"/>
    <w:rsid w:val="000B7A39"/>
    <w:rsid w:val="001704C3"/>
    <w:rsid w:val="002D657B"/>
    <w:rsid w:val="0046544F"/>
    <w:rsid w:val="00687490"/>
    <w:rsid w:val="009403C0"/>
    <w:rsid w:val="00AC43D5"/>
    <w:rsid w:val="00C91AF6"/>
    <w:rsid w:val="00D225DB"/>
    <w:rsid w:val="00F5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252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4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43D5"/>
    <w:rPr>
      <w:b/>
      <w:bCs/>
    </w:rPr>
  </w:style>
  <w:style w:type="character" w:styleId="a5">
    <w:name w:val="Hyperlink"/>
    <w:basedOn w:val="a0"/>
    <w:uiPriority w:val="99"/>
    <w:semiHidden/>
    <w:unhideWhenUsed/>
    <w:rsid w:val="00D225DB"/>
    <w:rPr>
      <w:color w:val="0000FF"/>
      <w:u w:val="single"/>
    </w:rPr>
  </w:style>
  <w:style w:type="character" w:styleId="a6">
    <w:name w:val="Emphasis"/>
    <w:basedOn w:val="a0"/>
    <w:uiPriority w:val="20"/>
    <w:qFormat/>
    <w:rsid w:val="00D225D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52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20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4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43D5"/>
    <w:rPr>
      <w:b/>
      <w:bCs/>
    </w:rPr>
  </w:style>
  <w:style w:type="character" w:styleId="a5">
    <w:name w:val="Hyperlink"/>
    <w:basedOn w:val="a0"/>
    <w:uiPriority w:val="99"/>
    <w:semiHidden/>
    <w:unhideWhenUsed/>
    <w:rsid w:val="00D225DB"/>
    <w:rPr>
      <w:color w:val="0000FF"/>
      <w:u w:val="single"/>
    </w:rPr>
  </w:style>
  <w:style w:type="character" w:styleId="a6">
    <w:name w:val="Emphasis"/>
    <w:basedOn w:val="a0"/>
    <w:uiPriority w:val="20"/>
    <w:qFormat/>
    <w:rsid w:val="00D225D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52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20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6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Татьяна</cp:lastModifiedBy>
  <cp:revision>6</cp:revision>
  <dcterms:created xsi:type="dcterms:W3CDTF">2022-11-05T06:05:00Z</dcterms:created>
  <dcterms:modified xsi:type="dcterms:W3CDTF">2022-11-05T07:58:00Z</dcterms:modified>
</cp:coreProperties>
</file>