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67C" w:rsidRDefault="00A2767C" w:rsidP="00A2767C">
      <w:pPr>
        <w:spacing w:after="0" w:line="360" w:lineRule="auto"/>
        <w:jc w:val="center"/>
        <w:rPr>
          <w:rFonts w:ascii="Times New Roman" w:eastAsia="Times New Roman" w:hAnsi="Times New Roman" w:cs="Times New Roman"/>
          <w:b/>
          <w:sz w:val="24"/>
          <w:szCs w:val="24"/>
          <w:lang w:eastAsia="ru-RU"/>
        </w:rPr>
      </w:pPr>
      <w:bookmarkStart w:id="0" w:name="_GoBack"/>
      <w:bookmarkEnd w:id="0"/>
      <w:r w:rsidRPr="00861E6A">
        <w:rPr>
          <w:rFonts w:ascii="Times New Roman" w:eastAsia="Times New Roman" w:hAnsi="Times New Roman" w:cs="Times New Roman"/>
          <w:b/>
          <w:sz w:val="24"/>
          <w:szCs w:val="24"/>
          <w:lang w:eastAsia="ru-RU"/>
        </w:rPr>
        <w:t>Перевозка зерновых грузов</w:t>
      </w:r>
    </w:p>
    <w:p w:rsidR="002D018C"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По своему назначению зерновые грузы подразделяют на три основные группы:</w:t>
      </w:r>
    </w:p>
    <w:p w:rsidR="002D018C" w:rsidRDefault="002D018C" w:rsidP="002D018C">
      <w:pPr>
        <w:pStyle w:val="a5"/>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2D018C">
        <w:rPr>
          <w:rFonts w:ascii="Times New Roman" w:eastAsia="Times New Roman" w:hAnsi="Times New Roman" w:cs="Times New Roman"/>
          <w:sz w:val="24"/>
          <w:szCs w:val="24"/>
          <w:lang w:eastAsia="ru-RU"/>
        </w:rPr>
        <w:t>З</w:t>
      </w:r>
      <w:r w:rsidR="00A2767C" w:rsidRPr="002D018C">
        <w:rPr>
          <w:rFonts w:ascii="Times New Roman" w:eastAsia="Times New Roman" w:hAnsi="Times New Roman" w:cs="Times New Roman"/>
          <w:sz w:val="24"/>
          <w:szCs w:val="24"/>
          <w:lang w:eastAsia="ru-RU"/>
        </w:rPr>
        <w:t>лаковые</w:t>
      </w:r>
      <w:proofErr w:type="gramEnd"/>
      <w:r w:rsidR="00A2767C" w:rsidRPr="002D018C">
        <w:rPr>
          <w:rFonts w:ascii="Times New Roman" w:eastAsia="Times New Roman" w:hAnsi="Times New Roman" w:cs="Times New Roman"/>
          <w:sz w:val="24"/>
          <w:szCs w:val="24"/>
          <w:lang w:eastAsia="ru-RU"/>
        </w:rPr>
        <w:t xml:space="preserve"> (пшеница, рожь, овес, ячмень, рис, гречиха и т.д.); </w:t>
      </w:r>
    </w:p>
    <w:p w:rsidR="002D018C" w:rsidRDefault="002D018C" w:rsidP="002D018C">
      <w:pPr>
        <w:pStyle w:val="a5"/>
        <w:spacing w:after="0" w:line="360" w:lineRule="auto"/>
        <w:ind w:left="420"/>
        <w:jc w:val="both"/>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2419350" cy="1676400"/>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5"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2417946" cy="1675427"/>
                    </a:xfrm>
                    <a:prstGeom prst="rect">
                      <a:avLst/>
                    </a:prstGeom>
                  </pic:spPr>
                </pic:pic>
              </a:graphicData>
            </a:graphic>
          </wp:inline>
        </w:drawing>
      </w:r>
      <w:r w:rsidRPr="002D018C">
        <w:rPr>
          <w:rFonts w:ascii="Times New Roman" w:eastAsia="Times New Roman" w:hAnsi="Times New Roman" w:cs="Times New Roman"/>
          <w:sz w:val="24"/>
          <w:szCs w:val="24"/>
          <w:lang w:eastAsia="ru-RU"/>
        </w:rPr>
        <w:drawing>
          <wp:inline distT="0" distB="0" distL="0" distR="0">
            <wp:extent cx="2600325" cy="1724025"/>
            <wp:effectExtent l="19050" t="0" r="9525" b="0"/>
            <wp:docPr id="2" name="Рисунок 2"/>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6"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2602463" cy="1725442"/>
                    </a:xfrm>
                    <a:prstGeom prst="rect">
                      <a:avLst/>
                    </a:prstGeom>
                  </pic:spPr>
                </pic:pic>
              </a:graphicData>
            </a:graphic>
          </wp:inline>
        </w:drawing>
      </w:r>
    </w:p>
    <w:p w:rsidR="002D018C" w:rsidRDefault="002D018C" w:rsidP="002D018C">
      <w:pPr>
        <w:pStyle w:val="a5"/>
        <w:numPr>
          <w:ilvl w:val="0"/>
          <w:numId w:val="1"/>
        </w:numPr>
        <w:spacing w:after="0"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З</w:t>
      </w:r>
      <w:r w:rsidR="00A2767C" w:rsidRPr="002D018C">
        <w:rPr>
          <w:rFonts w:ascii="Times New Roman" w:eastAsia="Times New Roman" w:hAnsi="Times New Roman" w:cs="Times New Roman"/>
          <w:sz w:val="24"/>
          <w:szCs w:val="24"/>
          <w:lang w:eastAsia="ru-RU"/>
        </w:rPr>
        <w:t>ернобобовые</w:t>
      </w:r>
      <w:proofErr w:type="gramEnd"/>
      <w:r w:rsidR="00A2767C" w:rsidRPr="002D018C">
        <w:rPr>
          <w:rFonts w:ascii="Times New Roman" w:eastAsia="Times New Roman" w:hAnsi="Times New Roman" w:cs="Times New Roman"/>
          <w:sz w:val="24"/>
          <w:szCs w:val="24"/>
          <w:lang w:eastAsia="ru-RU"/>
        </w:rPr>
        <w:t xml:space="preserve"> (горох, соя, фасоль, чечевица и т.д.); </w:t>
      </w:r>
    </w:p>
    <w:p w:rsidR="002D018C" w:rsidRPr="002D018C" w:rsidRDefault="002D018C" w:rsidP="002D018C">
      <w:pPr>
        <w:pStyle w:val="a5"/>
        <w:spacing w:after="0" w:line="360" w:lineRule="auto"/>
        <w:ind w:left="420"/>
        <w:jc w:val="center"/>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3181350" cy="1295400"/>
            <wp:effectExtent l="19050" t="0" r="0" b="0"/>
            <wp:docPr id="3" name="Рисунок 3"/>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3181350" cy="1295400"/>
                    </a:xfrm>
                    <a:prstGeom prst="rect">
                      <a:avLst/>
                    </a:prstGeom>
                  </pic:spPr>
                </pic:pic>
              </a:graphicData>
            </a:graphic>
          </wp:inline>
        </w:drawing>
      </w:r>
    </w:p>
    <w:p w:rsidR="002D018C" w:rsidRDefault="002D018C" w:rsidP="002D018C">
      <w:pPr>
        <w:pStyle w:val="a5"/>
        <w:numPr>
          <w:ilvl w:val="0"/>
          <w:numId w:val="1"/>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A2767C" w:rsidRPr="002D018C">
        <w:rPr>
          <w:rFonts w:ascii="Times New Roman" w:eastAsia="Times New Roman" w:hAnsi="Times New Roman" w:cs="Times New Roman"/>
          <w:sz w:val="24"/>
          <w:szCs w:val="24"/>
          <w:lang w:eastAsia="ru-RU"/>
        </w:rPr>
        <w:t>асличные (семена подсолнечника, льна, клещевины и т.д.).</w:t>
      </w:r>
    </w:p>
    <w:p w:rsidR="002D018C" w:rsidRDefault="002D018C" w:rsidP="002D018C">
      <w:pPr>
        <w:pStyle w:val="a5"/>
        <w:spacing w:after="0" w:line="360" w:lineRule="auto"/>
        <w:ind w:left="420"/>
        <w:jc w:val="center"/>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3562350" cy="1876425"/>
            <wp:effectExtent l="1905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8"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3562350" cy="1876425"/>
                    </a:xfrm>
                    <a:prstGeom prst="rect">
                      <a:avLst/>
                    </a:prstGeom>
                  </pic:spPr>
                </pic:pic>
              </a:graphicData>
            </a:graphic>
          </wp:inline>
        </w:drawing>
      </w:r>
    </w:p>
    <w:p w:rsidR="00A2767C" w:rsidRPr="002D018C" w:rsidRDefault="00A2767C" w:rsidP="002D018C">
      <w:pPr>
        <w:spacing w:after="0" w:line="360" w:lineRule="auto"/>
        <w:ind w:left="60" w:firstLine="360"/>
        <w:jc w:val="both"/>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t>К продуктам переработки зерна относятся мука, крупа, отруби и отходы мукомольного производства.</w:t>
      </w: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861E6A">
        <w:rPr>
          <w:rFonts w:ascii="Times New Roman" w:eastAsia="Times New Roman" w:hAnsi="Times New Roman" w:cs="Times New Roman"/>
          <w:sz w:val="24"/>
          <w:szCs w:val="24"/>
          <w:lang w:eastAsia="ru-RU"/>
        </w:rPr>
        <w:t>Основными показателями, характеризующими качество зерна являются</w:t>
      </w:r>
      <w:proofErr w:type="gramEnd"/>
      <w:r w:rsidRPr="00861E6A">
        <w:rPr>
          <w:rFonts w:ascii="Times New Roman" w:eastAsia="Times New Roman" w:hAnsi="Times New Roman" w:cs="Times New Roman"/>
          <w:sz w:val="24"/>
          <w:szCs w:val="24"/>
          <w:lang w:eastAsia="ru-RU"/>
        </w:rPr>
        <w:t>: объемная масса, влажность, общая стекловидность, клейковина, содержание примесей.</w:t>
      </w: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 xml:space="preserve">В зависимости от влажности зерновые грузы делятся на четыре группы: сухие, средней сухости, влажные и сырые. Например, пшеница, рожь, ячмень, гречиха считаются сухими при влажности до 14 % включительно, средней сухости от — 14 до 15,5 %, влажными — от 15,5 до 17 %, сырыми — свыше 17 %. Если влажность зерна более 18 %, то начинается прорастание, брожение, сопровождающееся повышением температуры. </w:t>
      </w: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861E6A">
        <w:rPr>
          <w:rFonts w:ascii="Times New Roman" w:eastAsia="Times New Roman" w:hAnsi="Times New Roman" w:cs="Times New Roman"/>
          <w:sz w:val="24"/>
          <w:szCs w:val="24"/>
          <w:lang w:eastAsia="ru-RU"/>
        </w:rPr>
        <w:t xml:space="preserve">Нормальная влажность наиболее распространенных продуктов переработки зерна составляет от 11 до 16 %. Например, для крупы овсяной — 11 %, крупы ячменной — 15 %, муки всех сортов — 14 %.  При повышении влажности и температуры продукты переработки зерна </w:t>
      </w:r>
      <w:proofErr w:type="spellStart"/>
      <w:r w:rsidRPr="00861E6A">
        <w:rPr>
          <w:rFonts w:ascii="Times New Roman" w:eastAsia="Times New Roman" w:hAnsi="Times New Roman" w:cs="Times New Roman"/>
          <w:sz w:val="24"/>
          <w:szCs w:val="24"/>
          <w:lang w:eastAsia="ru-RU"/>
        </w:rPr>
        <w:t>самонагреваются</w:t>
      </w:r>
      <w:proofErr w:type="spellEnd"/>
      <w:r w:rsidRPr="00861E6A">
        <w:rPr>
          <w:rFonts w:ascii="Times New Roman" w:eastAsia="Times New Roman" w:hAnsi="Times New Roman" w:cs="Times New Roman"/>
          <w:sz w:val="24"/>
          <w:szCs w:val="24"/>
          <w:lang w:eastAsia="ru-RU"/>
        </w:rPr>
        <w:t xml:space="preserve"> и плесневеют. Повышение температуры муки и крупы стимулирует усиление процесса дыхания в их массе, что вызывает усушку и значительную потерю массы продукта.</w:t>
      </w:r>
    </w:p>
    <w:p w:rsidR="00A2767C"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Качественная характеристика каждой партии отгружаемых зерновых</w:t>
      </w: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 xml:space="preserve">грузов и продуктов их переработки приводится в сертификатах качества Государственной хлебной инспекции при Правительстве Российской Федерации. Их имеется шесть форм. </w:t>
      </w:r>
    </w:p>
    <w:p w:rsidR="002D018C" w:rsidRPr="00861E6A" w:rsidRDefault="002D018C" w:rsidP="00A2767C">
      <w:pPr>
        <w:spacing w:after="0" w:line="360" w:lineRule="auto"/>
        <w:jc w:val="both"/>
        <w:rPr>
          <w:rFonts w:ascii="Times New Roman" w:eastAsia="Times New Roman" w:hAnsi="Times New Roman" w:cs="Times New Roman"/>
          <w:sz w:val="24"/>
          <w:szCs w:val="24"/>
          <w:lang w:eastAsia="ru-RU"/>
        </w:rPr>
      </w:pPr>
    </w:p>
    <w:p w:rsidR="00A2767C" w:rsidRDefault="00A2767C" w:rsidP="00A2767C">
      <w:pPr>
        <w:spacing w:after="0" w:line="360" w:lineRule="auto"/>
        <w:jc w:val="center"/>
        <w:rPr>
          <w:rFonts w:ascii="Times New Roman" w:eastAsia="Times New Roman" w:hAnsi="Times New Roman" w:cs="Times New Roman"/>
          <w:b/>
          <w:sz w:val="24"/>
          <w:szCs w:val="24"/>
          <w:lang w:eastAsia="ru-RU"/>
        </w:rPr>
      </w:pPr>
      <w:r w:rsidRPr="00861E6A">
        <w:rPr>
          <w:rFonts w:ascii="Times New Roman" w:eastAsia="Times New Roman" w:hAnsi="Times New Roman" w:cs="Times New Roman"/>
          <w:b/>
          <w:sz w:val="24"/>
          <w:szCs w:val="24"/>
          <w:lang w:eastAsia="ru-RU"/>
        </w:rPr>
        <w:t>Подвижной состав для перевозки зерновых грузов и продуктов их переработки</w:t>
      </w:r>
    </w:p>
    <w:p w:rsidR="002D018C" w:rsidRPr="00861E6A" w:rsidRDefault="002D018C" w:rsidP="00A2767C">
      <w:pPr>
        <w:spacing w:after="0" w:line="360" w:lineRule="auto"/>
        <w:jc w:val="center"/>
        <w:rPr>
          <w:rFonts w:ascii="Times New Roman" w:eastAsia="Times New Roman" w:hAnsi="Times New Roman" w:cs="Times New Roman"/>
          <w:sz w:val="24"/>
          <w:szCs w:val="24"/>
          <w:lang w:eastAsia="ru-RU"/>
        </w:rPr>
      </w:pP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Зерновые грузы и продукты их переработки перевозятся насыпью в крытых вагонах-хопперах для зерна (вагоны-зерновозы). Мука перевозится насыпью в специализированных вагонах-муковозах.</w:t>
      </w:r>
    </w:p>
    <w:p w:rsidR="00A2767C"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 xml:space="preserve">Вагоны-зерновозы бывают: с объемом кузова </w:t>
      </w:r>
      <w:smartTag w:uri="urn:schemas-microsoft-com:office:smarttags" w:element="metricconverter">
        <w:smartTagPr>
          <w:attr w:name="ProductID" w:val="93 м3"/>
        </w:smartTagPr>
        <w:r w:rsidRPr="00861E6A">
          <w:rPr>
            <w:rFonts w:ascii="Times New Roman" w:eastAsia="Times New Roman" w:hAnsi="Times New Roman" w:cs="Times New Roman"/>
            <w:sz w:val="24"/>
            <w:szCs w:val="24"/>
            <w:lang w:eastAsia="ru-RU"/>
          </w:rPr>
          <w:t>93 м3</w:t>
        </w:r>
      </w:smartTag>
      <w:r w:rsidRPr="00861E6A">
        <w:rPr>
          <w:rFonts w:ascii="Times New Roman" w:eastAsia="Times New Roman" w:hAnsi="Times New Roman" w:cs="Times New Roman"/>
          <w:sz w:val="24"/>
          <w:szCs w:val="24"/>
          <w:lang w:eastAsia="ru-RU"/>
        </w:rPr>
        <w:t xml:space="preserve"> (грузоподъемностью 65,0 т); </w:t>
      </w:r>
      <w:smartTag w:uri="urn:schemas-microsoft-com:office:smarttags" w:element="metricconverter">
        <w:smartTagPr>
          <w:attr w:name="ProductID" w:val="94 м3"/>
        </w:smartTagPr>
        <w:r w:rsidRPr="00861E6A">
          <w:rPr>
            <w:rFonts w:ascii="Times New Roman" w:eastAsia="Times New Roman" w:hAnsi="Times New Roman" w:cs="Times New Roman"/>
            <w:sz w:val="24"/>
            <w:szCs w:val="24"/>
            <w:lang w:eastAsia="ru-RU"/>
          </w:rPr>
          <w:t>94 м3</w:t>
        </w:r>
      </w:smartTag>
      <w:r w:rsidRPr="00861E6A">
        <w:rPr>
          <w:rFonts w:ascii="Times New Roman" w:eastAsia="Times New Roman" w:hAnsi="Times New Roman" w:cs="Times New Roman"/>
          <w:sz w:val="24"/>
          <w:szCs w:val="24"/>
          <w:lang w:eastAsia="ru-RU"/>
        </w:rPr>
        <w:t xml:space="preserve"> (70,0 т); </w:t>
      </w:r>
      <w:smartTag w:uri="urn:schemas-microsoft-com:office:smarttags" w:element="metricconverter">
        <w:smartTagPr>
          <w:attr w:name="ProductID" w:val="111 м3"/>
        </w:smartTagPr>
        <w:r w:rsidRPr="00861E6A">
          <w:rPr>
            <w:rFonts w:ascii="Times New Roman" w:eastAsia="Times New Roman" w:hAnsi="Times New Roman" w:cs="Times New Roman"/>
            <w:sz w:val="24"/>
            <w:szCs w:val="24"/>
            <w:lang w:eastAsia="ru-RU"/>
          </w:rPr>
          <w:t>111 м3</w:t>
        </w:r>
      </w:smartTag>
      <w:r w:rsidRPr="00861E6A">
        <w:rPr>
          <w:rFonts w:ascii="Times New Roman" w:eastAsia="Times New Roman" w:hAnsi="Times New Roman" w:cs="Times New Roman"/>
          <w:sz w:val="24"/>
          <w:szCs w:val="24"/>
          <w:lang w:eastAsia="ru-RU"/>
        </w:rPr>
        <w:t xml:space="preserve"> (76,5 т). Вагоны-зерновозы имеют на крыше четыре загрузочных люка, а в нижней части кузова шесть разгрузочных люков. Загрузочные люки имеют такую систему запоров (штангу, регистрирующую верхние загрузочные люки), которая позволяет их пломбировать одним ЗПУ. Каждый разгрузочный люк пломбируется отдельно. Торцевые стены вагонов-зерновозов наклонены под углом. Время разгрузки таких вагонов составляет 5-6 мин.</w:t>
      </w:r>
    </w:p>
    <w:p w:rsidR="002D018C" w:rsidRPr="00861E6A" w:rsidRDefault="002D018C" w:rsidP="00A2767C">
      <w:pPr>
        <w:spacing w:after="0" w:line="360" w:lineRule="auto"/>
        <w:jc w:val="both"/>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2428875" cy="1781175"/>
            <wp:effectExtent l="19050" t="0" r="9525"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9"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2428174" cy="1780661"/>
                    </a:xfrm>
                    <a:prstGeom prst="rect">
                      <a:avLst/>
                    </a:prstGeom>
                  </pic:spPr>
                </pic:pic>
              </a:graphicData>
            </a:graphic>
          </wp:inline>
        </w:drawing>
      </w:r>
      <w:r>
        <w:rPr>
          <w:rFonts w:ascii="Times New Roman" w:eastAsia="Times New Roman" w:hAnsi="Times New Roman" w:cs="Times New Roman"/>
          <w:sz w:val="24"/>
          <w:szCs w:val="24"/>
          <w:lang w:eastAsia="ru-RU"/>
        </w:rPr>
        <w:t xml:space="preserve">   </w:t>
      </w:r>
      <w:r w:rsidRPr="002D018C">
        <w:rPr>
          <w:rFonts w:ascii="Times New Roman" w:eastAsia="Times New Roman" w:hAnsi="Times New Roman" w:cs="Times New Roman"/>
          <w:sz w:val="24"/>
          <w:szCs w:val="24"/>
          <w:lang w:eastAsia="ru-RU"/>
        </w:rPr>
        <w:drawing>
          <wp:inline distT="0" distB="0" distL="0" distR="0">
            <wp:extent cx="3190875" cy="1714500"/>
            <wp:effectExtent l="19050" t="0" r="9525" b="0"/>
            <wp:docPr id="6" name="Рисунок 6"/>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cstate="print"/>
                    <a:stretch>
                      <a:fillRect/>
                    </a:stretch>
                  </pic:blipFill>
                  <pic:spPr>
                    <a:xfrm>
                      <a:off x="0" y="0"/>
                      <a:ext cx="3190485" cy="1714290"/>
                    </a:xfrm>
                    <a:prstGeom prst="rect">
                      <a:avLst/>
                    </a:prstGeom>
                  </pic:spPr>
                </pic:pic>
              </a:graphicData>
            </a:graphic>
          </wp:inline>
        </w:drawing>
      </w:r>
    </w:p>
    <w:p w:rsidR="00A2767C"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 xml:space="preserve">Вагоны-муковозы  бункерного типа имеют четыре емкости по </w:t>
      </w:r>
      <w:smartTag w:uri="urn:schemas-microsoft-com:office:smarttags" w:element="metricconverter">
        <w:smartTagPr>
          <w:attr w:name="ProductID" w:val="21,5 м3"/>
        </w:smartTagPr>
        <w:r w:rsidRPr="00861E6A">
          <w:rPr>
            <w:rFonts w:ascii="Times New Roman" w:eastAsia="Times New Roman" w:hAnsi="Times New Roman" w:cs="Times New Roman"/>
            <w:sz w:val="24"/>
            <w:szCs w:val="24"/>
            <w:lang w:eastAsia="ru-RU"/>
          </w:rPr>
          <w:t>21,5 м3</w:t>
        </w:r>
      </w:smartTag>
      <w:r w:rsidRPr="00861E6A">
        <w:rPr>
          <w:rFonts w:ascii="Times New Roman" w:eastAsia="Times New Roman" w:hAnsi="Times New Roman" w:cs="Times New Roman"/>
          <w:sz w:val="24"/>
          <w:szCs w:val="24"/>
          <w:lang w:eastAsia="ru-RU"/>
        </w:rPr>
        <w:t xml:space="preserve"> (полный объем вагона </w:t>
      </w:r>
      <w:smartTag w:uri="urn:schemas-microsoft-com:office:smarttags" w:element="metricconverter">
        <w:smartTagPr>
          <w:attr w:name="ProductID" w:val="86 м3"/>
        </w:smartTagPr>
        <w:r w:rsidRPr="00861E6A">
          <w:rPr>
            <w:rFonts w:ascii="Times New Roman" w:eastAsia="Times New Roman" w:hAnsi="Times New Roman" w:cs="Times New Roman"/>
            <w:sz w:val="24"/>
            <w:szCs w:val="24"/>
            <w:lang w:eastAsia="ru-RU"/>
          </w:rPr>
          <w:t>86 м3</w:t>
        </w:r>
      </w:smartTag>
      <w:r w:rsidRPr="00861E6A">
        <w:rPr>
          <w:rFonts w:ascii="Times New Roman" w:eastAsia="Times New Roman" w:hAnsi="Times New Roman" w:cs="Times New Roman"/>
          <w:sz w:val="24"/>
          <w:szCs w:val="24"/>
          <w:lang w:eastAsia="ru-RU"/>
        </w:rPr>
        <w:t xml:space="preserve">, грузоподъемность 52,0 т). Каждая емкость имеет загрузочный люк диаметром </w:t>
      </w:r>
      <w:smartTag w:uri="urn:schemas-microsoft-com:office:smarttags" w:element="metricconverter">
        <w:smartTagPr>
          <w:attr w:name="ProductID" w:val="400 мм"/>
        </w:smartTagPr>
        <w:r w:rsidRPr="00861E6A">
          <w:rPr>
            <w:rFonts w:ascii="Times New Roman" w:eastAsia="Times New Roman" w:hAnsi="Times New Roman" w:cs="Times New Roman"/>
            <w:sz w:val="24"/>
            <w:szCs w:val="24"/>
            <w:lang w:eastAsia="ru-RU"/>
          </w:rPr>
          <w:t>400 мм</w:t>
        </w:r>
      </w:smartTag>
      <w:r w:rsidRPr="00861E6A">
        <w:rPr>
          <w:rFonts w:ascii="Times New Roman" w:eastAsia="Times New Roman" w:hAnsi="Times New Roman" w:cs="Times New Roman"/>
          <w:sz w:val="24"/>
          <w:szCs w:val="24"/>
          <w:lang w:eastAsia="ru-RU"/>
        </w:rPr>
        <w:t xml:space="preserve">. Вагоны-зерновозы, подаваемые под погрузку, должны иметь исправные кузова, крышки загрузочных и разгрузочных люков с резиновыми уплотнениями, исключающими наличие щелей, кроме того, они должны иметь запорные механизмы и исправные устройства блокировки, предотвращающие открывание люков </w:t>
      </w:r>
      <w:r w:rsidRPr="00861E6A">
        <w:rPr>
          <w:rFonts w:ascii="Times New Roman" w:eastAsia="Times New Roman" w:hAnsi="Times New Roman" w:cs="Times New Roman"/>
          <w:sz w:val="24"/>
          <w:szCs w:val="24"/>
          <w:lang w:eastAsia="ru-RU"/>
        </w:rPr>
        <w:lastRenderedPageBreak/>
        <w:t>без нарушения запорно-пломбировочных устройств. После выгрузки зерновых грузов, зараженных болезнями сельскохозяйственных растений, грузополучатель промывает и обеззараживает вагоны. Грузополучатель предоставляет железнодорожной станции назначения справку о промывке и (или) обеззараживании вагонов.</w:t>
      </w: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Пригодность вагонов под погрузку зерновых грузов и муки определяется с участием представителей Государственной хлебной инспекции.</w:t>
      </w:r>
    </w:p>
    <w:p w:rsidR="002D018C" w:rsidRPr="00861E6A" w:rsidRDefault="002D018C" w:rsidP="002D018C">
      <w:pPr>
        <w:spacing w:after="0" w:line="360" w:lineRule="auto"/>
        <w:jc w:val="center"/>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4486275" cy="2066925"/>
            <wp:effectExtent l="19050" t="0" r="9525" b="0"/>
            <wp:docPr id="7" name="Рисунок 7"/>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1" cstate="print"/>
                    <a:stretch>
                      <a:fillRect/>
                    </a:stretch>
                  </pic:blipFill>
                  <pic:spPr>
                    <a:xfrm>
                      <a:off x="0" y="0"/>
                      <a:ext cx="4486275" cy="2066925"/>
                    </a:xfrm>
                    <a:prstGeom prst="rect">
                      <a:avLst/>
                    </a:prstGeom>
                  </pic:spPr>
                </pic:pic>
              </a:graphicData>
            </a:graphic>
          </wp:inline>
        </w:drawing>
      </w: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861E6A">
        <w:rPr>
          <w:rFonts w:ascii="Times New Roman" w:eastAsia="Times New Roman" w:hAnsi="Times New Roman" w:cs="Times New Roman"/>
          <w:sz w:val="24"/>
          <w:szCs w:val="24"/>
          <w:lang w:eastAsia="ru-RU"/>
        </w:rPr>
        <w:t>Кроме зерна в вагонах-зерновозах перевозятся также крупы (гречневая, манная, кукурузная, овсяная, пер</w:t>
      </w:r>
      <w:r>
        <w:rPr>
          <w:rFonts w:ascii="Times New Roman" w:eastAsia="Times New Roman" w:hAnsi="Times New Roman" w:cs="Times New Roman"/>
          <w:sz w:val="24"/>
          <w:szCs w:val="24"/>
          <w:lang w:eastAsia="ru-RU"/>
        </w:rPr>
        <w:t>ло</w:t>
      </w:r>
      <w:r w:rsidRPr="00861E6A">
        <w:rPr>
          <w:rFonts w:ascii="Times New Roman" w:eastAsia="Times New Roman" w:hAnsi="Times New Roman" w:cs="Times New Roman"/>
          <w:sz w:val="24"/>
          <w:szCs w:val="24"/>
          <w:lang w:eastAsia="ru-RU"/>
        </w:rPr>
        <w:t xml:space="preserve">вая, полтавская), дерть (крупнодробленое зерно), пшено, рис (крупа), сечка (овсяная, рисовая, ячменная и др.), смесь зерновая, толокно, хлопья (кукурузные, овсяные, пшеничные, рисовые) и др.  </w:t>
      </w:r>
      <w:proofErr w:type="gramEnd"/>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При отсутствии у грузоотправителя указанных сертификатов зерно и продукты его переработки к перевозке по указанным направлениям не принимаются.</w:t>
      </w:r>
    </w:p>
    <w:p w:rsidR="00A2767C" w:rsidRPr="00861E6A" w:rsidRDefault="00A2767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E6A">
        <w:rPr>
          <w:rFonts w:ascii="Times New Roman" w:eastAsia="Times New Roman" w:hAnsi="Times New Roman" w:cs="Times New Roman"/>
          <w:sz w:val="24"/>
          <w:szCs w:val="24"/>
          <w:lang w:eastAsia="ru-RU"/>
        </w:rPr>
        <w:t>Массу зерновых грузов и продуктов их переработки, перевозимых насыпью, определяет грузоотправитель и удостоверяет ее подписью в накладной. При отсутствии весов у грузоотправителя груз взвешивается на весах перевозчика самостоятельно грузоотправителем или с помощью его работников.</w:t>
      </w:r>
    </w:p>
    <w:p w:rsidR="00A2767C" w:rsidRDefault="002D018C" w:rsidP="00A2767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2767C" w:rsidRPr="00861E6A">
        <w:rPr>
          <w:rFonts w:ascii="Times New Roman" w:eastAsia="Times New Roman" w:hAnsi="Times New Roman" w:cs="Times New Roman"/>
          <w:sz w:val="24"/>
          <w:szCs w:val="24"/>
          <w:lang w:eastAsia="ru-RU"/>
        </w:rPr>
        <w:t xml:space="preserve">Значительная часть продуктов переработки зерновых грузов перевозится в мешках в крытых вагонах. Муку и крупу перевозят в мешках стандартной массы 50, </w:t>
      </w:r>
      <w:smartTag w:uri="urn:schemas-microsoft-com:office:smarttags" w:element="metricconverter">
        <w:smartTagPr>
          <w:attr w:name="ProductID" w:val="80 кг"/>
        </w:smartTagPr>
        <w:r w:rsidR="00A2767C" w:rsidRPr="00861E6A">
          <w:rPr>
            <w:rFonts w:ascii="Times New Roman" w:eastAsia="Times New Roman" w:hAnsi="Times New Roman" w:cs="Times New Roman"/>
            <w:sz w:val="24"/>
            <w:szCs w:val="24"/>
            <w:lang w:eastAsia="ru-RU"/>
          </w:rPr>
          <w:t>80 кг</w:t>
        </w:r>
      </w:smartTag>
      <w:r w:rsidR="00A2767C" w:rsidRPr="00861E6A">
        <w:rPr>
          <w:rFonts w:ascii="Times New Roman" w:eastAsia="Times New Roman" w:hAnsi="Times New Roman" w:cs="Times New Roman"/>
          <w:sz w:val="24"/>
          <w:szCs w:val="24"/>
          <w:lang w:eastAsia="ru-RU"/>
        </w:rPr>
        <w:t>. Мука восприимчива к посторонним запахам и сырости. Муку всех сортов и крупу укладывают в штабеля. Выдача муки и крупы, перевозимых в стандартных мешках, на местах общего пользования производится с проверкой числа мест.</w:t>
      </w:r>
    </w:p>
    <w:p w:rsidR="002D018C" w:rsidRPr="00861E6A" w:rsidRDefault="002D018C" w:rsidP="002D018C">
      <w:pPr>
        <w:spacing w:after="0" w:line="360" w:lineRule="auto"/>
        <w:rPr>
          <w:rFonts w:ascii="Times New Roman" w:eastAsia="Times New Roman" w:hAnsi="Times New Roman" w:cs="Times New Roman"/>
          <w:sz w:val="24"/>
          <w:szCs w:val="24"/>
          <w:lang w:eastAsia="ru-RU"/>
        </w:rPr>
      </w:pPr>
      <w:r w:rsidRPr="002D018C">
        <w:rPr>
          <w:rFonts w:ascii="Times New Roman" w:eastAsia="Times New Roman" w:hAnsi="Times New Roman" w:cs="Times New Roman"/>
          <w:sz w:val="24"/>
          <w:szCs w:val="24"/>
          <w:lang w:eastAsia="ru-RU"/>
        </w:rPr>
        <w:drawing>
          <wp:inline distT="0" distB="0" distL="0" distR="0">
            <wp:extent cx="3219450" cy="1419225"/>
            <wp:effectExtent l="19050" t="0" r="0" b="0"/>
            <wp:docPr id="8" name="Рисунок 8"/>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2"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3219042" cy="1419045"/>
                    </a:xfrm>
                    <a:prstGeom prst="rect">
                      <a:avLst/>
                    </a:prstGeom>
                  </pic:spPr>
                </pic:pic>
              </a:graphicData>
            </a:graphic>
          </wp:inline>
        </w:drawing>
      </w:r>
      <w:r>
        <w:rPr>
          <w:rFonts w:ascii="Times New Roman" w:eastAsia="Times New Roman" w:hAnsi="Times New Roman" w:cs="Times New Roman"/>
          <w:sz w:val="24"/>
          <w:szCs w:val="24"/>
          <w:lang w:eastAsia="ru-RU"/>
        </w:rPr>
        <w:t xml:space="preserve">  </w:t>
      </w:r>
      <w:r w:rsidRPr="002D018C">
        <w:rPr>
          <w:rFonts w:ascii="Times New Roman" w:eastAsia="Times New Roman" w:hAnsi="Times New Roman" w:cs="Times New Roman"/>
          <w:sz w:val="24"/>
          <w:szCs w:val="24"/>
          <w:lang w:eastAsia="ru-RU"/>
        </w:rPr>
        <w:drawing>
          <wp:inline distT="0" distB="0" distL="0" distR="0">
            <wp:extent cx="2562225" cy="1409700"/>
            <wp:effectExtent l="19050" t="0" r="9525" b="0"/>
            <wp:docPr id="9" name="Рисунок 9"/>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 cstate="print"/>
                    <a:stretch>
                      <a:fillRect/>
                    </a:stretch>
                  </pic:blipFill>
                  <pic:spPr>
                    <a:xfrm>
                      <a:off x="0" y="0"/>
                      <a:ext cx="2563929" cy="1410637"/>
                    </a:xfrm>
                    <a:prstGeom prst="rect">
                      <a:avLst/>
                    </a:prstGeom>
                  </pic:spPr>
                </pic:pic>
              </a:graphicData>
            </a:graphic>
          </wp:inline>
        </w:drawing>
      </w:r>
    </w:p>
    <w:sectPr w:rsidR="002D018C" w:rsidRPr="00861E6A" w:rsidSect="007459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74CE5"/>
    <w:multiLevelType w:val="hybridMultilevel"/>
    <w:tmpl w:val="1DB8A6CE"/>
    <w:lvl w:ilvl="0" w:tplc="F1ACE4B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13C4"/>
    <w:rsid w:val="002613C4"/>
    <w:rsid w:val="002D018C"/>
    <w:rsid w:val="0074597A"/>
    <w:rsid w:val="00A2767C"/>
    <w:rsid w:val="00DB2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67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76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767C"/>
    <w:rPr>
      <w:rFonts w:ascii="Segoe UI" w:hAnsi="Segoe UI" w:cs="Segoe UI"/>
      <w:sz w:val="18"/>
      <w:szCs w:val="18"/>
    </w:rPr>
  </w:style>
  <w:style w:type="paragraph" w:styleId="a5">
    <w:name w:val="List Paragraph"/>
    <w:basedOn w:val="a"/>
    <w:uiPriority w:val="34"/>
    <w:qFormat/>
    <w:rsid w:val="002D01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671</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4</cp:revision>
  <cp:lastPrinted>2017-09-26T05:30:00Z</cp:lastPrinted>
  <dcterms:created xsi:type="dcterms:W3CDTF">2017-09-26T05:28:00Z</dcterms:created>
  <dcterms:modified xsi:type="dcterms:W3CDTF">2022-09-16T09:47:00Z</dcterms:modified>
</cp:coreProperties>
</file>