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9B" w:rsidRPr="00DA089B" w:rsidRDefault="00157E68" w:rsidP="00430EA0">
      <w:pPr>
        <w:spacing w:before="120" w:after="120" w:line="360" w:lineRule="exact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Конспект</w:t>
      </w:r>
      <w:r w:rsidR="00DA089B">
        <w:rPr>
          <w:b/>
          <w:sz w:val="28"/>
          <w:szCs w:val="28"/>
        </w:rPr>
        <w:t xml:space="preserve"> </w:t>
      </w:r>
      <w:r w:rsidR="00DA089B" w:rsidRPr="00DA089B">
        <w:rPr>
          <w:b/>
          <w:sz w:val="28"/>
          <w:szCs w:val="28"/>
        </w:rPr>
        <w:t>Занятие№18</w:t>
      </w:r>
      <w:r>
        <w:rPr>
          <w:b/>
          <w:sz w:val="28"/>
          <w:szCs w:val="28"/>
        </w:rPr>
        <w:t xml:space="preserve"> </w:t>
      </w:r>
      <w:r w:rsidR="00DA089B" w:rsidRPr="00DA089B">
        <w:rPr>
          <w:b/>
          <w:sz w:val="28"/>
          <w:szCs w:val="28"/>
          <w:u w:val="single"/>
        </w:rPr>
        <w:t>Общие требования к организации маневровой работе.</w:t>
      </w:r>
    </w:p>
    <w:p w:rsidR="00DA089B" w:rsidRPr="00157E68" w:rsidRDefault="00157E68" w:rsidP="00430EA0">
      <w:pPr>
        <w:spacing w:before="120" w:after="120" w:line="360" w:lineRule="exact"/>
        <w:rPr>
          <w:b/>
          <w:sz w:val="28"/>
          <w:szCs w:val="28"/>
          <w:u w:val="single"/>
        </w:rPr>
      </w:pPr>
      <w:r w:rsidRPr="00157E68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</w:t>
      </w:r>
      <w:r w:rsidR="00DA089B" w:rsidRPr="00157E68">
        <w:rPr>
          <w:b/>
          <w:sz w:val="28"/>
          <w:szCs w:val="28"/>
          <w:u w:val="single"/>
        </w:rPr>
        <w:t>Сигналы при маневровой работе.</w:t>
      </w:r>
    </w:p>
    <w:p w:rsidR="00E338AF" w:rsidRPr="00E338AF" w:rsidRDefault="00E338AF" w:rsidP="00157E68">
      <w:pPr>
        <w:spacing w:line="360" w:lineRule="exact"/>
        <w:rPr>
          <w:sz w:val="28"/>
          <w:szCs w:val="28"/>
        </w:rPr>
      </w:pPr>
      <w:r w:rsidRPr="00E338AF">
        <w:rPr>
          <w:sz w:val="28"/>
          <w:szCs w:val="28"/>
        </w:rPr>
        <w:t>Маневровым светофорам присваивается литера М с порядковым номером в четной горловине станции</w:t>
      </w:r>
      <w:r>
        <w:rPr>
          <w:sz w:val="28"/>
          <w:szCs w:val="28"/>
        </w:rPr>
        <w:t xml:space="preserve"> </w:t>
      </w:r>
      <w:r w:rsidRPr="00E338AF">
        <w:rPr>
          <w:sz w:val="28"/>
          <w:szCs w:val="28"/>
        </w:rPr>
        <w:t xml:space="preserve">- четным, в нечетной - нечетным. </w:t>
      </w:r>
      <w:r w:rsidR="00355222">
        <w:rPr>
          <w:sz w:val="28"/>
          <w:szCs w:val="28"/>
        </w:rPr>
        <w:t>Н</w:t>
      </w:r>
      <w:r w:rsidRPr="00E338AF">
        <w:rPr>
          <w:sz w:val="28"/>
          <w:szCs w:val="28"/>
        </w:rPr>
        <w:t>омера возрастают от горловины к оси станции, но это не</w:t>
      </w:r>
      <w:r>
        <w:rPr>
          <w:sz w:val="28"/>
          <w:szCs w:val="28"/>
        </w:rPr>
        <w:t xml:space="preserve"> </w:t>
      </w:r>
      <w:r w:rsidRPr="00E338AF">
        <w:rPr>
          <w:sz w:val="28"/>
          <w:szCs w:val="28"/>
        </w:rPr>
        <w:t>является жестким требованием. За ось, разделяющую четную и нечетную зону станции, обычно</w:t>
      </w:r>
      <w:r>
        <w:rPr>
          <w:sz w:val="28"/>
          <w:szCs w:val="28"/>
        </w:rPr>
        <w:t xml:space="preserve"> </w:t>
      </w:r>
      <w:r w:rsidRPr="00E338AF">
        <w:rPr>
          <w:sz w:val="28"/>
          <w:szCs w:val="28"/>
        </w:rPr>
        <w:t>принимается ось пассажирского здания, а при его отсутствии - ось поста ЭЦ. Аналогичный подход</w:t>
      </w:r>
    </w:p>
    <w:p w:rsidR="007B5657" w:rsidRPr="00E338AF" w:rsidRDefault="00E338AF" w:rsidP="00157E68">
      <w:pPr>
        <w:spacing w:line="360" w:lineRule="exact"/>
        <w:rPr>
          <w:sz w:val="28"/>
          <w:szCs w:val="28"/>
        </w:rPr>
      </w:pPr>
      <w:r w:rsidRPr="00E338AF">
        <w:rPr>
          <w:sz w:val="28"/>
          <w:szCs w:val="28"/>
        </w:rPr>
        <w:t>применяется, для нумерации у стр</w:t>
      </w:r>
      <w:r>
        <w:rPr>
          <w:sz w:val="28"/>
          <w:szCs w:val="28"/>
        </w:rPr>
        <w:t>елок.</w:t>
      </w:r>
    </w:p>
    <w:tbl>
      <w:tblPr>
        <w:tblW w:w="51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0"/>
      </w:tblGrid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DF7ED9" w:rsidRDefault="00DA089B" w:rsidP="00DA089B">
            <w:pPr>
              <w:widowControl w:val="0"/>
              <w:autoSpaceDE w:val="0"/>
              <w:autoSpaceDN w:val="0"/>
              <w:adjustRightInd w:val="0"/>
              <w:spacing w:line="360" w:lineRule="exact"/>
              <w:ind w:right="-249"/>
            </w:pPr>
            <w:r w:rsidRPr="0038133F">
              <w:rPr>
                <w:rFonts w:cs="Times New Roman"/>
                <w:sz w:val="28"/>
                <w:szCs w:val="28"/>
              </w:rPr>
              <w:t>Что называют маневрами, виды маневровых операций. Требования ПТЭ к маневровой работе</w:t>
            </w:r>
            <w:r>
              <w:rPr>
                <w:rFonts w:cs="Times New Roman"/>
                <w:sz w:val="28"/>
                <w:szCs w:val="28"/>
              </w:rPr>
              <w:t xml:space="preserve">.                                                           </w:t>
            </w:r>
            <w:r>
              <w:t xml:space="preserve"> 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. Маневровая работа должна производиться в соответствии с технологическим процессом работы станции и по плану, предусматривающему: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1) своевременное формирование и отправление поездов;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2) своевременную подачу вагонов под грузовые операции и уборку их после окончания грузовых операций;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3) наименьшую затрату времени на переработку вагонов;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4) рациональное использование всех маневровых средств и технических устройств;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5) бесперебойный прием поездов на станцию;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6) безопасность движения поездов, безопасность работников, связанных с маневрами, и сохранность подвижного состава и перевозимого груза.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На путях необщего пользования при отсутствии технологического процесса работы станции маневровая работа производится с соответствии с местной инструкцией о порядке обслуживания и организации движения.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2.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На станциях, в зависимости от путевого развития, характера и объема маневровой работы, пути разделяются на маневровые районы. Границы маневровых районов и порядок работы в каждом из них устанавливаются в ТРА станции или инструкции о порядке обслуживания и организации движения на  путях необщего пользования.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В каждом маневровом районе работает, как правило, один маневровый локомотив. При необходимости работы в отдельных районах двух и более маневровых локомотивов порядок их работы, обеспечивающий безопасность движения поездов, указывается в ТРА станции или инструкции о порядке обслуживания и организации движения на  путях необщего пользования.</w:t>
            </w:r>
          </w:p>
          <w:p w:rsidR="00DA089B" w:rsidRPr="0038133F" w:rsidRDefault="00DA089B" w:rsidP="007471F1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Локомотивы, выдаваемые на маневровую работу, должны быть исправны, иметь исправно действующие радиостанции, установленные сигналы и инвентарь.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24.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Маневры на станционных  путях, а также на  путях необщего пользования должны производиться по указанию только одного работника, который может быть дежурным по станции, диспетчером маневровым станции, дежурным по сортировочной горке или парку станции, а на участках, оборудованных диспетчерской централизацией, - диспетчером поездным.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Распределение 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lastRenderedPageBreak/>
              <w:t>обязанностей по распоряжению маневрами указывается в техническо-распорядительном акте станции или инструкции по обслуживанию и организации движения поездов на пути необщего пользования.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Порядок производства маневровой работы на путях необщего пользования в пределах пунктов ремонта подвижного состава устанавливается владельцем путей необщего пользования.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26.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Машинист локомотива, моторвагонного железнодорожного подвижного состава, специального самоходного подвижного состава, производящий маневры, не вправе приводить в движение локомотив, моторвагонный железнодорожный подвижной состав или специальный самоходный подвижной состав без получения указания руководителя маневров лично, по радиосвязи, устройствам двусторонней парковой связи или сигнала, подаваемого ручными сигнальными приборами.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Кроме указания или сигнала руководителя маневров, перед выездом на стрелки централизованных маневровых маршрутов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машинист должен убедиться в наличии разрешающего показания маневрового светофора лично, а в случае отсутствия видимости сигнала через руководителя маневров, а на нецентрализованные стрелки - получить от дежурного стрелочного поста сигнал или сообщение (лично, по радиосвязи, устройствам двусторонней парковой связи) о готовности стрелок для маневровых передвижений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>. При отсутствии маневровых светофоров или невозможности открытия светофора перед выездом на централизованные стрелки машинистом должно быть получено сообщение о готовности стрелок для маневровых передвижений от дежурного по станции (лично, по радиосвязи, устройствам двусторонней парковой связи или переданное через руководителя маневров).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На станциях с электрической централизацией стрелок и светофоров в случаях передачи стрелок с центрального на местное управление выезд на стрелки разрешается по указанию или сигналу работника, на которого возложен перевод этих стрелок.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Основные положения по использованию устройств радиосвязи и двусторонней парковой связи при маневровой работе устанавливаются нормами и правилами.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89B" w:rsidRPr="00430EA0" w:rsidRDefault="00DA089B" w:rsidP="00DA089B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lastRenderedPageBreak/>
              <w:t>Средства сигнализации и связи при манёврах</w:t>
            </w:r>
            <w:r>
              <w:rPr>
                <w:rFonts w:cs="Times New Roman"/>
                <w:sz w:val="28"/>
                <w:szCs w:val="28"/>
              </w:rPr>
              <w:t>.</w:t>
            </w:r>
            <w:r w:rsidRPr="0038133F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   </w:t>
            </w:r>
          </w:p>
        </w:tc>
      </w:tr>
      <w:tr w:rsidR="00DA089B" w:rsidRPr="00430EA0" w:rsidTr="00157E68">
        <w:trPr>
          <w:trHeight w:val="14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7471F1" w:rsidRDefault="00DA089B" w:rsidP="007471F1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7471F1">
              <w:rPr>
                <w:rFonts w:cs="Times New Roman"/>
                <w:b/>
                <w:color w:val="000000"/>
                <w:sz w:val="28"/>
                <w:szCs w:val="28"/>
              </w:rPr>
              <w:t>25. Основным средством передачи указаний при маневровой работе должна быть радиосвязь, а в необходимых случаях - устройства двусторонней парковой связи.</w:t>
            </w:r>
          </w:p>
          <w:p w:rsidR="00DA089B" w:rsidRPr="007471F1" w:rsidRDefault="00DA089B" w:rsidP="00DA089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7471F1">
              <w:rPr>
                <w:rFonts w:cs="Times New Roman"/>
                <w:b/>
                <w:color w:val="000000"/>
                <w:sz w:val="28"/>
                <w:szCs w:val="28"/>
              </w:rPr>
              <w:t>Подача сигналов при маневровой работе разрешается ручными сигнальными приборами.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430EA0" w:rsidRDefault="00157E68" w:rsidP="00DA089B">
            <w:pPr>
              <w:spacing w:line="360" w:lineRule="exact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         </w:t>
            </w:r>
            <w:r w:rsidR="00DA089B" w:rsidRPr="0038133F">
              <w:rPr>
                <w:rFonts w:cs="Times New Roman"/>
                <w:sz w:val="28"/>
                <w:szCs w:val="28"/>
              </w:rPr>
              <w:t>Показания маневровых и горочных светофоров</w:t>
            </w:r>
            <w:r w:rsidR="00DA089B">
              <w:rPr>
                <w:rFonts w:cs="Times New Roman"/>
                <w:sz w:val="28"/>
                <w:szCs w:val="28"/>
              </w:rPr>
              <w:t>.</w:t>
            </w:r>
            <w:r w:rsidR="00DA089B">
              <w:t xml:space="preserve">            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80.</w:t>
            </w:r>
            <w:r w:rsidRPr="0038133F">
              <w:rPr>
                <w:rFonts w:cs="Times New Roman"/>
                <w:sz w:val="28"/>
                <w:szCs w:val="28"/>
              </w:rPr>
              <w:t xml:space="preserve"> Маневровыми светофорами подаются сигналы: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маневровому составу проследовать маневровый светофор и далее руководствоваться показаниями попутных светофоров или указаниями (сигналами) руководителя маневров 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noProof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синий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запрещается маневровому составу проследовать маневровый светофор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lastRenderedPageBreak/>
              <w:t xml:space="preserve">Разрешение на производство маневровых передвижений может подаваться выходными и маршрутными светофорами с показанием: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при погашенном красном огне.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 xml:space="preserve">На станциях однопутных линий, а также двухпутных, оборудованных автоматической блокировкой для двустороннего движения по каждому пути, на маневровом светофоре, расположенном на мачте входного светофора со стороны станции (в сторону оси станции), может применяться сигнал: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выход маневрирующего состава за границу станции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Групповым маневровым светофором, разрешающим маневры в определенном районе  станции, подаются сигналы в одну или обе стороны.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С путей, по которым не предусматривается прием и отправление поездов, из тупиков, а также для приема маневровым порядком с путей необщего пользования на пути общего пользования должны устанавливаться маневровые сигналы с красным огнем.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 xml:space="preserve">В необходимых случаях для приема на свободные участки станционных путей подталкивающих локомотивов, локомотивов, следующих в расположенное на станции депо, локомотивов, следующих из депо под составы поездов, восстановительных, хозяйственных (при производстве работ с закрытием перегона) и пожарных поездов, ССПС при запрещающем показании входного светофора на мачте входного светофора может применяться сигнал: </w:t>
            </w:r>
          </w:p>
          <w:p w:rsidR="00DA089B" w:rsidRPr="0038133F" w:rsidRDefault="00DA089B" w:rsidP="00157E6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прием указанных локомотивов или поездов на свободные участки станционных путей 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lastRenderedPageBreak/>
              <w:t xml:space="preserve"> Горочными светофорами подаются сигналы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зеленый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роспуск вагонов с установленной скоростью;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желтый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роспуск вагонов с уменьшенной скоростью;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желтый и один зеленый огни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роспуск вагонов со скоростью, промежуточной между установленной и уменьшенной;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горочному (маневровому) локомотиву проследовать через горб горки в подгорочный парк и производить маневры на  пути сортировочного парка;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красный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стой! Запрещается роспуск;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буква «Н» белого цвета на световом указателе, горящая одновременно с красным огнем, или при погашенном красном огне</w:t>
            </w:r>
            <w:r w:rsidRPr="0038133F">
              <w:rPr>
                <w:rFonts w:cs="Times New Roman"/>
                <w:sz w:val="28"/>
                <w:szCs w:val="28"/>
              </w:rPr>
              <w:t xml:space="preserve"> – осадить вагоны с горки назад.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Скорость роспуска вагонов на сортировочных горках по одному зеленому огню, одному желтому и одному зеленому огням и одному желтому огню горочных светофоров устанавливается владельцем инфраструктуры, владельцем путей необщего пользования.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 xml:space="preserve">В тех случаях, когда видимость сигналов горочного светофора не обеспечивается, для информации машиниста о показании горочного светофора применяются повторительные светофоры или горочная автоматическая локомотивная сигнализация. Повторительные и локомотивные светофоры должны сигнализировать теми же огнями, что и основной горочный светофор. На повторительных горочных </w:t>
            </w:r>
            <w:r w:rsidRPr="0038133F">
              <w:rPr>
                <w:rFonts w:cs="Times New Roman"/>
                <w:sz w:val="28"/>
                <w:szCs w:val="28"/>
              </w:rPr>
              <w:lastRenderedPageBreak/>
              <w:t>светофорах, расположенных в середине путей парка приема, вместо красного огня может устанавливаться синий.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Для разрешения подачи составов до горочного светофора на путях парка приема, а также для сигнализации на подгорочных путях могут применяться маневровые светофоры.</w:t>
            </w:r>
          </w:p>
          <w:p w:rsidR="00DA089B" w:rsidRPr="0038133F" w:rsidRDefault="00DA089B" w:rsidP="00157E6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82.</w:t>
            </w:r>
            <w:r w:rsidRPr="0038133F">
              <w:rPr>
                <w:rFonts w:cs="Times New Roman"/>
                <w:sz w:val="28"/>
                <w:szCs w:val="28"/>
              </w:rPr>
              <w:t xml:space="preserve"> При отсутствии маневровых светофоров проезд выходных и маршрутных светофоров с красным огнем при маневрах разрешается дежурным по станции или по его указанию руководителем маневров лично, по радиосвязи, устройствам двусторонней парковой связи или по сигналу, подаваемому ручным сигнальным прибором.</w:t>
            </w:r>
          </w:p>
        </w:tc>
      </w:tr>
      <w:tr w:rsidR="00DA089B" w:rsidRPr="00430EA0" w:rsidTr="00157E68">
        <w:trPr>
          <w:trHeight w:val="3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430EA0" w:rsidRDefault="00157E68" w:rsidP="00DA089B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                                 </w:t>
            </w:r>
            <w:r w:rsidR="00DA089B" w:rsidRPr="0038133F">
              <w:rPr>
                <w:rFonts w:cs="Times New Roman"/>
                <w:sz w:val="28"/>
                <w:szCs w:val="28"/>
              </w:rPr>
              <w:t xml:space="preserve">Ручные и звуковые сигналы при манёврах  </w:t>
            </w:r>
          </w:p>
        </w:tc>
      </w:tr>
      <w:tr w:rsidR="00DA089B" w:rsidRPr="00430EA0" w:rsidTr="00157E68">
        <w:trPr>
          <w:trHeight w:val="8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83.</w:t>
            </w:r>
            <w:r w:rsidRPr="0038133F">
              <w:rPr>
                <w:rFonts w:cs="Times New Roman"/>
                <w:sz w:val="28"/>
                <w:szCs w:val="28"/>
              </w:rPr>
              <w:t xml:space="preserve"> </w:t>
            </w:r>
            <w:r w:rsidRPr="0038133F">
              <w:rPr>
                <w:rFonts w:cs="Times New Roman"/>
                <w:b/>
                <w:sz w:val="28"/>
                <w:szCs w:val="28"/>
              </w:rPr>
              <w:t xml:space="preserve">При маневрах подаются ручные и звуковые сигналы: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разрешается локомотиву следовать управлением вперед:</w:t>
            </w:r>
            <w:r w:rsidRPr="0038133F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днем</w:t>
            </w:r>
            <w:r w:rsidRPr="0038133F">
              <w:rPr>
                <w:rFonts w:cs="Times New Roman"/>
                <w:sz w:val="28"/>
                <w:szCs w:val="28"/>
              </w:rPr>
              <w:t xml:space="preserve"> движением поднятой вверх руки с развернутым желтым флагом;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ночью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ручного фонаря с прозрачно-белым огнем или одним длинным звуком;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разрешается локомотиву следовать управлением назад:</w:t>
            </w:r>
            <w:r w:rsidRPr="0038133F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днем</w:t>
            </w:r>
            <w:r w:rsidRPr="0038133F">
              <w:rPr>
                <w:rFonts w:cs="Times New Roman"/>
                <w:sz w:val="28"/>
                <w:szCs w:val="28"/>
              </w:rPr>
              <w:t xml:space="preserve"> движением опущенной вниз руки с развернутым желтым флагом;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ночью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ручного фонаря с прозрачно-белым огнем или двумя длинными звуками;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ручной сигнал тише:</w:t>
            </w:r>
            <w:r w:rsidRPr="0038133F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днем</w:t>
            </w:r>
            <w:r w:rsidRPr="0038133F">
              <w:rPr>
                <w:rFonts w:cs="Times New Roman"/>
                <w:sz w:val="28"/>
                <w:szCs w:val="28"/>
              </w:rPr>
              <w:t xml:space="preserve"> медленными движениями вверх и вниз развернутого желтого флага;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ночью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ручного фонаря с прозрачно-белым огнем или двумя короткими звуками;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Стой!</w:t>
            </w:r>
            <w:r w:rsidRPr="0038133F">
              <w:rPr>
                <w:rFonts w:cs="Times New Roman"/>
                <w:sz w:val="28"/>
                <w:szCs w:val="28"/>
              </w:rPr>
              <w:t xml:space="preserve"> – днем движениями по кругу развернутого красного или желтого флага; ночью – ручного фонаря с любым огнем или тремя короткими звуками.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Звуковые сигналы при маневрах подаются ручным свистком или духовым рожком.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84.</w:t>
            </w:r>
            <w:r w:rsidRPr="0038133F">
              <w:rPr>
                <w:rFonts w:cs="Times New Roman"/>
                <w:sz w:val="28"/>
                <w:szCs w:val="28"/>
              </w:rPr>
              <w:t xml:space="preserve"> Сигналы при маневрах должны повторяться свистками локомотива, МВПС, ССПС, подтверждающими принятие их к исполнению.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Задание сигналисту или дежурному стрелочного поста установить стрелку на тот или иной путь может подаваться звуками различной продолжительности (свистками локомотивов и свистками руководителей маневров) или другими средствами в зависимости от технического оснащения станции в соответствии с порядком, установленным техническо-распорядительным актом</w:t>
            </w:r>
            <w:bookmarkStart w:id="0" w:name="_GoBack"/>
            <w:bookmarkEnd w:id="0"/>
            <w:r w:rsidRPr="0038133F">
              <w:rPr>
                <w:rFonts w:cs="Times New Roman"/>
                <w:sz w:val="28"/>
                <w:szCs w:val="28"/>
              </w:rPr>
              <w:t xml:space="preserve"> станции.</w:t>
            </w:r>
          </w:p>
          <w:p w:rsidR="00DA089B" w:rsidRPr="0038133F" w:rsidRDefault="00DA089B" w:rsidP="00444A5C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Порядок применения сигнальных устройств большой и малой громкости устанавливается владельцем инфраструктуры, владельцем путей необщего пользования.</w:t>
            </w:r>
          </w:p>
        </w:tc>
      </w:tr>
    </w:tbl>
    <w:p w:rsidR="002B69CF" w:rsidRPr="00BD7284" w:rsidRDefault="002B69CF" w:rsidP="00DA089B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exact"/>
      </w:pPr>
    </w:p>
    <w:sectPr w:rsidR="002B69CF" w:rsidRPr="00BD7284" w:rsidSect="00157E68">
      <w:pgSz w:w="11906" w:h="16838"/>
      <w:pgMar w:top="567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BDC" w:rsidRDefault="00175BDC" w:rsidP="00E81ACC">
      <w:r>
        <w:separator/>
      </w:r>
    </w:p>
  </w:endnote>
  <w:endnote w:type="continuationSeparator" w:id="0">
    <w:p w:rsidR="00175BDC" w:rsidRDefault="00175BDC" w:rsidP="00E8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BDC" w:rsidRDefault="00175BDC" w:rsidP="00E81ACC">
      <w:r>
        <w:separator/>
      </w:r>
    </w:p>
  </w:footnote>
  <w:footnote w:type="continuationSeparator" w:id="0">
    <w:p w:rsidR="00175BDC" w:rsidRDefault="00175BDC" w:rsidP="00E8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7C2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066C"/>
    <w:multiLevelType w:val="hybridMultilevel"/>
    <w:tmpl w:val="28F0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73A9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13055DF5"/>
    <w:multiLevelType w:val="hybridMultilevel"/>
    <w:tmpl w:val="7350287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5C017C7"/>
    <w:multiLevelType w:val="hybridMultilevel"/>
    <w:tmpl w:val="0E58B598"/>
    <w:lvl w:ilvl="0" w:tplc="289C5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803F2A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953C1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909DD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40831921"/>
    <w:multiLevelType w:val="hybridMultilevel"/>
    <w:tmpl w:val="74EC0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0227DE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50092AAC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50145B18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726F2"/>
    <w:multiLevelType w:val="hybridMultilevel"/>
    <w:tmpl w:val="775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7766B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218EE"/>
    <w:multiLevelType w:val="hybridMultilevel"/>
    <w:tmpl w:val="F60025AE"/>
    <w:lvl w:ilvl="0" w:tplc="6E52A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F1ABA"/>
    <w:multiLevelType w:val="hybridMultilevel"/>
    <w:tmpl w:val="EF4866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7B51DC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72A29"/>
    <w:multiLevelType w:val="hybridMultilevel"/>
    <w:tmpl w:val="65944DA2"/>
    <w:lvl w:ilvl="0" w:tplc="E1C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</w:num>
  <w:num w:numId="8">
    <w:abstractNumId w:val="12"/>
  </w:num>
  <w:num w:numId="9">
    <w:abstractNumId w:val="3"/>
  </w:num>
  <w:num w:numId="10">
    <w:abstractNumId w:val="4"/>
  </w:num>
  <w:num w:numId="11">
    <w:abstractNumId w:val="17"/>
  </w:num>
  <w:num w:numId="12">
    <w:abstractNumId w:val="13"/>
  </w:num>
  <w:num w:numId="13">
    <w:abstractNumId w:val="6"/>
  </w:num>
  <w:num w:numId="14">
    <w:abstractNumId w:val="16"/>
  </w:num>
  <w:num w:numId="15">
    <w:abstractNumId w:val="5"/>
  </w:num>
  <w:num w:numId="16">
    <w:abstractNumId w:val="1"/>
  </w:num>
  <w:num w:numId="17">
    <w:abstractNumId w:val="10"/>
  </w:num>
  <w:num w:numId="18">
    <w:abstractNumId w:val="9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70"/>
    <w:rsid w:val="00010850"/>
    <w:rsid w:val="000123C8"/>
    <w:rsid w:val="000376B6"/>
    <w:rsid w:val="00041986"/>
    <w:rsid w:val="00042C81"/>
    <w:rsid w:val="00043F16"/>
    <w:rsid w:val="00050E76"/>
    <w:rsid w:val="000626CD"/>
    <w:rsid w:val="000709F0"/>
    <w:rsid w:val="00072894"/>
    <w:rsid w:val="000C0ED8"/>
    <w:rsid w:val="000D3FAD"/>
    <w:rsid w:val="000D52C6"/>
    <w:rsid w:val="000F35AD"/>
    <w:rsid w:val="000F6421"/>
    <w:rsid w:val="00101C9D"/>
    <w:rsid w:val="00104FF2"/>
    <w:rsid w:val="00141BF1"/>
    <w:rsid w:val="00156E2A"/>
    <w:rsid w:val="00157E68"/>
    <w:rsid w:val="00163D23"/>
    <w:rsid w:val="00175BDC"/>
    <w:rsid w:val="00191B12"/>
    <w:rsid w:val="001C01BB"/>
    <w:rsid w:val="001F3897"/>
    <w:rsid w:val="002526BE"/>
    <w:rsid w:val="00266D0C"/>
    <w:rsid w:val="00277708"/>
    <w:rsid w:val="002960D4"/>
    <w:rsid w:val="002B69CF"/>
    <w:rsid w:val="002C3B35"/>
    <w:rsid w:val="002D1D4F"/>
    <w:rsid w:val="002E65E0"/>
    <w:rsid w:val="002F0BE8"/>
    <w:rsid w:val="003146AF"/>
    <w:rsid w:val="003156FB"/>
    <w:rsid w:val="003254F5"/>
    <w:rsid w:val="00336063"/>
    <w:rsid w:val="00343003"/>
    <w:rsid w:val="00346BA1"/>
    <w:rsid w:val="00355222"/>
    <w:rsid w:val="00372646"/>
    <w:rsid w:val="00381DDA"/>
    <w:rsid w:val="0039413D"/>
    <w:rsid w:val="00397DED"/>
    <w:rsid w:val="003E58C6"/>
    <w:rsid w:val="004172B2"/>
    <w:rsid w:val="0042345D"/>
    <w:rsid w:val="00430EA0"/>
    <w:rsid w:val="00432C43"/>
    <w:rsid w:val="00444A5C"/>
    <w:rsid w:val="00466970"/>
    <w:rsid w:val="00471996"/>
    <w:rsid w:val="0047712F"/>
    <w:rsid w:val="004A2453"/>
    <w:rsid w:val="004B34A4"/>
    <w:rsid w:val="004B646E"/>
    <w:rsid w:val="004C409C"/>
    <w:rsid w:val="004D7732"/>
    <w:rsid w:val="004E5292"/>
    <w:rsid w:val="0051214A"/>
    <w:rsid w:val="0056560D"/>
    <w:rsid w:val="005C65B6"/>
    <w:rsid w:val="005D5322"/>
    <w:rsid w:val="005D70E0"/>
    <w:rsid w:val="005F1EF9"/>
    <w:rsid w:val="00605260"/>
    <w:rsid w:val="00605CD2"/>
    <w:rsid w:val="00645FBD"/>
    <w:rsid w:val="0065178E"/>
    <w:rsid w:val="006618CB"/>
    <w:rsid w:val="00662D23"/>
    <w:rsid w:val="00672887"/>
    <w:rsid w:val="006A413B"/>
    <w:rsid w:val="006C4129"/>
    <w:rsid w:val="006E6E2B"/>
    <w:rsid w:val="00714841"/>
    <w:rsid w:val="00734426"/>
    <w:rsid w:val="007471F1"/>
    <w:rsid w:val="0077068F"/>
    <w:rsid w:val="00785959"/>
    <w:rsid w:val="007B5657"/>
    <w:rsid w:val="007D425C"/>
    <w:rsid w:val="007F5F41"/>
    <w:rsid w:val="007F6E34"/>
    <w:rsid w:val="0081567E"/>
    <w:rsid w:val="00824BF4"/>
    <w:rsid w:val="008729CF"/>
    <w:rsid w:val="00875DDB"/>
    <w:rsid w:val="008D3DD1"/>
    <w:rsid w:val="008F4A4D"/>
    <w:rsid w:val="008F6E3B"/>
    <w:rsid w:val="0090089E"/>
    <w:rsid w:val="00953DBF"/>
    <w:rsid w:val="0095748E"/>
    <w:rsid w:val="009715D5"/>
    <w:rsid w:val="009717AA"/>
    <w:rsid w:val="00986E52"/>
    <w:rsid w:val="009D1221"/>
    <w:rsid w:val="00A03051"/>
    <w:rsid w:val="00A1601D"/>
    <w:rsid w:val="00A17261"/>
    <w:rsid w:val="00A26C75"/>
    <w:rsid w:val="00A42933"/>
    <w:rsid w:val="00A51744"/>
    <w:rsid w:val="00A77A94"/>
    <w:rsid w:val="00AA4564"/>
    <w:rsid w:val="00AA49E3"/>
    <w:rsid w:val="00AB4D57"/>
    <w:rsid w:val="00AC0A61"/>
    <w:rsid w:val="00B10F67"/>
    <w:rsid w:val="00B26C32"/>
    <w:rsid w:val="00B4784B"/>
    <w:rsid w:val="00B621D9"/>
    <w:rsid w:val="00B726D5"/>
    <w:rsid w:val="00B951BC"/>
    <w:rsid w:val="00BA1D5F"/>
    <w:rsid w:val="00BC41BC"/>
    <w:rsid w:val="00BF72A9"/>
    <w:rsid w:val="00BF7C01"/>
    <w:rsid w:val="00C00084"/>
    <w:rsid w:val="00C27DE3"/>
    <w:rsid w:val="00C351C8"/>
    <w:rsid w:val="00C5483F"/>
    <w:rsid w:val="00C57A98"/>
    <w:rsid w:val="00C83BA8"/>
    <w:rsid w:val="00CB0913"/>
    <w:rsid w:val="00CD5421"/>
    <w:rsid w:val="00CF0A05"/>
    <w:rsid w:val="00D12927"/>
    <w:rsid w:val="00D2530C"/>
    <w:rsid w:val="00D619CF"/>
    <w:rsid w:val="00D715BE"/>
    <w:rsid w:val="00D810C4"/>
    <w:rsid w:val="00D8736A"/>
    <w:rsid w:val="00DA089B"/>
    <w:rsid w:val="00DD55BB"/>
    <w:rsid w:val="00DD7283"/>
    <w:rsid w:val="00E15E33"/>
    <w:rsid w:val="00E2773F"/>
    <w:rsid w:val="00E338AF"/>
    <w:rsid w:val="00E433F6"/>
    <w:rsid w:val="00E53754"/>
    <w:rsid w:val="00E611A8"/>
    <w:rsid w:val="00E81ACC"/>
    <w:rsid w:val="00E84036"/>
    <w:rsid w:val="00EB18DB"/>
    <w:rsid w:val="00EB3C78"/>
    <w:rsid w:val="00EB413E"/>
    <w:rsid w:val="00EC2E5B"/>
    <w:rsid w:val="00EE0270"/>
    <w:rsid w:val="00F026A2"/>
    <w:rsid w:val="00F265E9"/>
    <w:rsid w:val="00F41A41"/>
    <w:rsid w:val="00F6035C"/>
    <w:rsid w:val="00F665A1"/>
    <w:rsid w:val="00F7600D"/>
    <w:rsid w:val="00F77FCC"/>
    <w:rsid w:val="00F904C0"/>
    <w:rsid w:val="00F91DAC"/>
    <w:rsid w:val="00FC3785"/>
    <w:rsid w:val="00FD2AE8"/>
    <w:rsid w:val="00FE04A2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967C5-DA33-44BE-BCED-0F6A6723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ED"/>
    <w:rPr>
      <w:rFonts w:ascii="Times New Roman" w:hAnsi="Times New Roman" w:cs="DejaVu Sans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0E0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9"/>
    <w:qFormat/>
    <w:rsid w:val="005D70E0"/>
    <w:pPr>
      <w:ind w:left="120"/>
      <w:outlineLvl w:val="1"/>
    </w:pPr>
    <w:rPr>
      <w:rFonts w:ascii="Tahoma" w:eastAsia="Times New Roman" w:hAnsi="Tahoma" w:cs="Tahoma"/>
      <w:b/>
      <w:bCs/>
      <w:color w:val="00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E0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5D70E0"/>
    <w:rPr>
      <w:rFonts w:ascii="Tahoma" w:eastAsia="Times New Roman" w:hAnsi="Tahoma" w:cs="Tahoma"/>
      <w:b/>
      <w:bCs/>
      <w:color w:val="000099"/>
      <w:sz w:val="22"/>
      <w:szCs w:val="22"/>
    </w:rPr>
  </w:style>
  <w:style w:type="paragraph" w:customStyle="1" w:styleId="a3">
    <w:name w:val="ТекстТТ"/>
    <w:qFormat/>
    <w:rsid w:val="00397DED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B69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5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aliases w:val="тема"/>
    <w:basedOn w:val="a"/>
    <w:next w:val="a"/>
    <w:semiHidden/>
    <w:unhideWhenUsed/>
    <w:qFormat/>
    <w:rsid w:val="0081567E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Times New Roman" w:cs="Times New Roman"/>
      <w:b/>
      <w:szCs w:val="27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a">
    <w:name w:val="List Paragraph"/>
    <w:basedOn w:val="a"/>
    <w:uiPriority w:val="34"/>
    <w:qFormat/>
    <w:rsid w:val="00B726D5"/>
    <w:pPr>
      <w:ind w:left="720"/>
      <w:contextualSpacing/>
    </w:pPr>
  </w:style>
  <w:style w:type="character" w:customStyle="1" w:styleId="FontStyle37">
    <w:name w:val="Font Style37"/>
    <w:basedOn w:val="a0"/>
    <w:uiPriority w:val="99"/>
    <w:rsid w:val="00CD54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CD5421"/>
    <w:pPr>
      <w:widowControl w:val="0"/>
      <w:autoSpaceDE w:val="0"/>
      <w:autoSpaceDN w:val="0"/>
      <w:adjustRightInd w:val="0"/>
      <w:spacing w:line="322" w:lineRule="exact"/>
      <w:ind w:firstLine="706"/>
    </w:pPr>
    <w:rPr>
      <w:rFonts w:eastAsia="Times New Roman" w:cs="Times New Roman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paragraph" w:customStyle="1" w:styleId="3">
    <w:name w:val="3Стиль Рук"/>
    <w:basedOn w:val="a"/>
    <w:link w:val="30"/>
    <w:autoRedefine/>
    <w:qFormat/>
    <w:rsid w:val="003E58C6"/>
    <w:pPr>
      <w:tabs>
        <w:tab w:val="left" w:pos="375"/>
      </w:tabs>
      <w:suppressAutoHyphens/>
      <w:spacing w:line="360" w:lineRule="exact"/>
      <w:ind w:left="174" w:right="-57"/>
    </w:pPr>
    <w:rPr>
      <w:rFonts w:eastAsia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0">
    <w:name w:val="3Стиль Рук Знак"/>
    <w:basedOn w:val="a0"/>
    <w:link w:val="3"/>
    <w:rsid w:val="003E58C6"/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rsid w:val="00104FF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04FF2"/>
    <w:rPr>
      <w:rFonts w:ascii="Courier New" w:eastAsia="Times New Roman" w:hAnsi="Courier New"/>
      <w:lang w:eastAsia="ru-RU"/>
    </w:rPr>
  </w:style>
  <w:style w:type="paragraph" w:styleId="ad">
    <w:name w:val="Title"/>
    <w:basedOn w:val="a"/>
    <w:link w:val="ae"/>
    <w:qFormat/>
    <w:rsid w:val="00430EA0"/>
    <w:pPr>
      <w:jc w:val="center"/>
    </w:pPr>
    <w:rPr>
      <w:rFonts w:eastAsia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rsid w:val="00430EA0"/>
    <w:rPr>
      <w:rFonts w:ascii="Times New Roman" w:eastAsia="Times New Roman" w:hAnsi="Times New Roman"/>
      <w:b/>
    </w:rPr>
  </w:style>
  <w:style w:type="paragraph" w:styleId="af">
    <w:name w:val="Balloon Text"/>
    <w:basedOn w:val="a"/>
    <w:link w:val="af0"/>
    <w:uiPriority w:val="99"/>
    <w:semiHidden/>
    <w:unhideWhenUsed/>
    <w:rsid w:val="008F6E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F6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Ли Н.Г.</cp:lastModifiedBy>
  <cp:revision>40</cp:revision>
  <cp:lastPrinted>2020-07-23T18:14:00Z</cp:lastPrinted>
  <dcterms:created xsi:type="dcterms:W3CDTF">2018-08-08T13:46:00Z</dcterms:created>
  <dcterms:modified xsi:type="dcterms:W3CDTF">2020-10-26T17:22:00Z</dcterms:modified>
</cp:coreProperties>
</file>