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C0" w:rsidRPr="00430EA0" w:rsidRDefault="00B24A93" w:rsidP="00430EA0">
      <w:pPr>
        <w:spacing w:before="120" w:after="120" w:line="360" w:lineRule="exact"/>
        <w:rPr>
          <w:b/>
          <w:sz w:val="28"/>
          <w:szCs w:val="28"/>
        </w:rPr>
      </w:pPr>
      <w:r w:rsidRPr="00B24A93">
        <w:rPr>
          <w:sz w:val="28"/>
          <w:szCs w:val="28"/>
        </w:rPr>
        <w:t xml:space="preserve">Конспект </w:t>
      </w:r>
      <w:r>
        <w:rPr>
          <w:b/>
          <w:sz w:val="28"/>
          <w:szCs w:val="28"/>
        </w:rPr>
        <w:t>Общие требования к организации движения поездов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7"/>
      </w:tblGrid>
      <w:tr w:rsidR="00B24A93" w:rsidRPr="00430EA0" w:rsidTr="00B24A93">
        <w:trPr>
          <w:trHeight w:val="3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802C00" w:rsidRDefault="00B24A93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  <w:r w:rsidRPr="00802C00">
              <w:rPr>
                <w:b/>
                <w:color w:val="000000"/>
                <w:sz w:val="28"/>
                <w:szCs w:val="28"/>
              </w:rPr>
              <w:t>Руководство движением поездов на перегонах и станциях.</w:t>
            </w: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61.</w:t>
            </w:r>
            <w:r w:rsidRPr="00054348">
              <w:rPr>
                <w:rFonts w:cs="Times New Roman"/>
                <w:sz w:val="28"/>
                <w:szCs w:val="28"/>
              </w:rPr>
              <w:t xml:space="preserve"> Движением поездов на участке руководит только один работник - диспетчер поездной, отвечающий за выполнение графика движения поездов по обслуживаемому им участку.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Приказы диспетчера поездного подлежат безоговорочному выполнению работниками, непосредственно связанными с движением поездов на данном участке.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Не допускается давать оперативные указания о движении поездов на участке другими лицами.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обслуживании локомотивов пассажирских и мотор-вагонных поездов одним машинистом диспетчер поездной при нахождении такого поезда на обслуживаемом им участке обязан обеспечить контроль за его следованием и информировать об этом дежурных по станциям данного участка.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62.</w:t>
            </w:r>
            <w:r w:rsidRPr="00054348">
              <w:rPr>
                <w:rFonts w:cs="Times New Roman"/>
                <w:sz w:val="28"/>
                <w:szCs w:val="28"/>
              </w:rPr>
              <w:t xml:space="preserve"> Каждая станция и путевой пост в части руководства движением поездов и каждый поезд должны находиться одновременно в руководстве только одного работника: станция или путевой пост - дежурного по станции (за исключением случаев, предусмотренных настоящим пунктом), а на участках, оборудованных диспетчерской централизацией, - диспетчера поездного, поезд - машиниста ведущего локомотива (мотор-вагонного поезда), ССПС.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На  станциях в зависимости от путевого развития может быть несколько дежурных по станции или по паркам станции, каждый из которых единолично распоряжается движением поездов в пределах своего района работы. Разграничение районов управления на таких  станциях и круг обязанностей, связанных с движением поездов, каждого дежурного по станции или по парку станции указываются в техническо-распорядительном акте станции или в инструкции о порядке обслуживания и организации движения на  пути необщего пользования.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На  станциях машинист ведущего локомотива (мотор-вагонного поезда), ССПС и все остальные работники, обслуживающие поезд, подчиняются указаниям дежурного по станции, а на  станциях участков, оборудованных диспетчерской централизацией, - диспетчера поездного.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Допускается на малоинтенсивных линиях (участках) при отмене дежурств дежурными по станциям возлагать руководство движением поездов на этих  станциях на дежурного по станции соседней станции, если станция оборудована устройствами телеуправления стрелками и сигналами прилегающих  станций и обеспечена устойчивая поездная радиосвязь, или на диспетчера поездного на участках, имеющих устройства диспетчерского контроля за движением поездов, с установлением порядка, обеспечивающего безопасность движения поездов, в том числе обслуживаемых одним машинистом.</w:t>
            </w: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Default="00B24A93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</w:p>
          <w:p w:rsidR="005942FD" w:rsidRDefault="005942FD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</w:p>
          <w:p w:rsidR="00B24A93" w:rsidRPr="004C0010" w:rsidRDefault="00B24A93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4C0010">
              <w:rPr>
                <w:b/>
                <w:color w:val="000000"/>
                <w:sz w:val="28"/>
                <w:szCs w:val="28"/>
              </w:rPr>
              <w:lastRenderedPageBreak/>
              <w:t>Порядок приёма поезда на станцию.</w:t>
            </w: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lastRenderedPageBreak/>
              <w:t>63.</w:t>
            </w:r>
            <w:r w:rsidRPr="00054348">
              <w:rPr>
                <w:rFonts w:cs="Times New Roman"/>
                <w:sz w:val="28"/>
                <w:szCs w:val="28"/>
              </w:rPr>
              <w:t xml:space="preserve"> Каждый пассажирский, почтово-багажный, грузопассажирский и людской поезд должен приниматься, как правило, на определенный  путь, а грузовые поезда - на определенные группы  путей.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Поезда, не имеющие остановки на станции, должны пропускаться, как правило, по главным путям.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Порядок использования  путей для приема и отправления поездов указывается в техническо-распорядительном акте станции.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64.</w:t>
            </w:r>
            <w:r w:rsidRPr="00054348">
              <w:rPr>
                <w:rFonts w:cs="Times New Roman"/>
                <w:sz w:val="28"/>
                <w:szCs w:val="28"/>
              </w:rPr>
              <w:t xml:space="preserve"> Дежурный по станции обязан обеспечить наличие свободных  путей для своевременного приема поездов и не допускать необоснованной задержки поезда у закрытого входного сигнала.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Не допускается занятие приемо-отправочных  путей отдельными вагонами или группами вагонов, отцепленными от проходящих поездов и предназначенными для подачи под погрузку, выгрузку, ремонт и другие операции.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На промежуточных  станциях временное занятие приемо-отправочных  путей отдельными вагонами или группами вагонов может быть допущено только по разрешению диспетчера поездного.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Не допускается занятие улавливающих тупиков любым подвижным составом, а предохранительных тупиков - пассажирскими и грузовыми вагонами, в которых находятся люди, грузовыми вагонами с опасными грузами.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Перед приемом, отправлением пассажирского поезда, обслуживаемого одним машинистом, дежурный по станции, а на участках, оборудованных диспетчерской централизацией, - диспетчер поездной обязан информировать машиниста о готовности маршрута и открытии сигналов. Перечень  станций на железнодорожном транспорте общего пользования, где дежурный по станции, исходя из местных условий и размеров движения поездов, не может своевременно передать такое сообщение машинисту, и порядок обеспечения при этом безопасности движения поездов устанавливаются владельцем инфраструктуры.</w:t>
            </w: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9332C8" w:rsidRDefault="00B24A93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  <w:r w:rsidRPr="009332C8">
              <w:rPr>
                <w:b/>
                <w:color w:val="000000"/>
                <w:sz w:val="28"/>
                <w:szCs w:val="28"/>
              </w:rPr>
              <w:t>Средства сигнализации и связи при организации движении поездов</w:t>
            </w: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85.</w:t>
            </w:r>
            <w:r w:rsidRPr="00054348">
              <w:rPr>
                <w:rFonts w:cs="Times New Roman"/>
                <w:sz w:val="28"/>
                <w:szCs w:val="28"/>
              </w:rPr>
              <w:t xml:space="preserve"> Основными средствами сигнализации и связи при движении поездов являются автоматическая и полуавтоматическая путевые блокировки.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организации двустороннего движения на двухпутных и многопутных перегонах, оборудованных автоблокировкой в одном направлении, движение поездов в противоположном направлении (по неправильному  пути) может осуществляться по сигналам локомотивных светофоров.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На отдельных участках может применяться как самостоятельное средство сигнализации и связи автоматическая локомотивная сигнализация.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На малоинтенсивных линиях (участках)  путей общего пользования и на  путях необщего пользования в качестве средств связи при движении поездов допускается применять электрожезловую систему и телефон.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В исключительных условиях по указанию, соответственно, владельца инфраструктуры, владельца  путей необщего пользования допускается отправлять поезда с разграничением временем.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lastRenderedPageBreak/>
              <w:t>На каждом  пути межстанционного перегона одновременно может действовать одно средство сигнализации и связи.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Порядок организации движения поездов при автоматической локомотивной сигнализации, применяемой как самостоятельное средство сигнализации и связи, при следовании по сигналам локомотивных светофоров, при электрожезловой системе, телефонных средствах связи, а также порядок отправления поездов с разграничением временем установлен в Инструкции по движению поездов и маневровой работе на железнодорожном транспорте Российской Федерации</w:t>
            </w:r>
            <w:r w:rsidRPr="00054348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86.</w:t>
            </w:r>
            <w:r w:rsidRPr="00054348">
              <w:rPr>
                <w:rFonts w:cs="Times New Roman"/>
                <w:sz w:val="28"/>
                <w:szCs w:val="28"/>
              </w:rPr>
              <w:t xml:space="preserve"> На отдельных малоинтенсивных линиях (участках) и  путях необщего пользования движение поездов допускается: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по приказам диспетчера поездного, передаваемым непосредственно машинисту ведущего локомотива по поездной радиосвязи;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посредстве одного жезла;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посредстве одного локомотива;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в отдельных случаях, если границы двух  станций совпадают, на  путях необщего пользования допускается применять маневровый порядок движения.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Перечень участков и  путей необщего пользования и порядок организации движения поездов при этих средствах связи устанавливаются, соответственно, владельцем инфраструктуры, владельцем  путей необщего пользования.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lastRenderedPageBreak/>
              <w:t>87.</w:t>
            </w:r>
            <w:r w:rsidRPr="00054348">
              <w:rPr>
                <w:rFonts w:cs="Times New Roman"/>
                <w:sz w:val="28"/>
                <w:szCs w:val="28"/>
              </w:rPr>
              <w:t xml:space="preserve"> При автоматической блокировке разрешением на занятие поездом блок-участка служит разрешающее показание выходного или проходного светофора.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 xml:space="preserve">Как исключение, на проходных светофорах (кроме находящихся перед входными светофорами), расположенных на затяжных подъемах, допускается в каждом отдельном случае с разрешения, соответственно, владельца инфраструктуры, владельца </w:t>
            </w:r>
            <w:r>
              <w:rPr>
                <w:rFonts w:cs="Times New Roman"/>
                <w:sz w:val="28"/>
                <w:szCs w:val="28"/>
              </w:rPr>
              <w:t>п</w:t>
            </w:r>
            <w:r w:rsidRPr="00054348">
              <w:rPr>
                <w:rFonts w:cs="Times New Roman"/>
                <w:sz w:val="28"/>
                <w:szCs w:val="28"/>
              </w:rPr>
              <w:t>утей необщего пользования установка условно-разрешающего сигнала, подаваемого знаком в виде буквы "Т", нанесенном на щите опоры светофора. Наличие этого сигнала служит разрешением грузовому поезду на проследование красного огня проходного светофора без остановки. При этом поезд должен проследовать проходной светофор с красным огнем со скоростью не более 20 км/ч, а на путях необщего пользования - не более 15 км/ч.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 xml:space="preserve">После остановки поезда перед проходным светофором с красным огнем, а также с непонятным показанием или погасшим, если машинист видит или знает, что впередилежащий блок-участок занят поездом или имеется иное препятствие для движения, запрещается продолжать движение до тех пор, пока блок-участок не освободится. Если машинист не знает о нахождении на впередилежащем блок-участке поезда (иного препятствия), он должен после остановки отпустить автотормоза и, если за это время на светофоре не появится разрешающего огня, вести поезд до следующего светофора со скоростью не более </w:t>
            </w:r>
            <w:smartTag w:uri="urn:schemas-microsoft-com:office:smarttags" w:element="metricconverter">
              <w:smartTagPr>
                <w:attr w:name="ProductID" w:val="20 км/ч"/>
              </w:smartTagPr>
              <w:r w:rsidRPr="00054348">
                <w:rPr>
                  <w:rFonts w:cs="Times New Roman"/>
                  <w:sz w:val="28"/>
                  <w:szCs w:val="28"/>
                </w:rPr>
                <w:t>20 км/ч</w:t>
              </w:r>
            </w:smartTag>
            <w:r w:rsidRPr="00054348">
              <w:rPr>
                <w:rFonts w:cs="Times New Roman"/>
                <w:sz w:val="28"/>
                <w:szCs w:val="28"/>
              </w:rPr>
              <w:t xml:space="preserve">, а на  путях необщего пользования - не более </w:t>
            </w:r>
            <w:smartTag w:uri="urn:schemas-microsoft-com:office:smarttags" w:element="metricconverter">
              <w:smartTagPr>
                <w:attr w:name="ProductID" w:val="15 км/ч"/>
              </w:smartTagPr>
              <w:r w:rsidRPr="00054348">
                <w:rPr>
                  <w:rFonts w:cs="Times New Roman"/>
                  <w:sz w:val="28"/>
                  <w:szCs w:val="28"/>
                </w:rPr>
                <w:t>15 км/ч</w:t>
              </w:r>
            </w:smartTag>
            <w:r w:rsidRPr="00054348">
              <w:rPr>
                <w:rFonts w:cs="Times New Roman"/>
                <w:sz w:val="28"/>
                <w:szCs w:val="28"/>
              </w:rPr>
              <w:t>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В случае, когда следующий проходной светофор будет в таком же положении, движение поезда после остановки продолжается в том же порядке.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 xml:space="preserve">В случае, если после проследования в установленном порядке проходного </w:t>
            </w:r>
            <w:r w:rsidRPr="00054348">
              <w:rPr>
                <w:rFonts w:cs="Times New Roman"/>
                <w:sz w:val="28"/>
                <w:szCs w:val="28"/>
              </w:rPr>
              <w:lastRenderedPageBreak/>
              <w:t>светофора с запрещающим показанием, с непонятным показанием или погасшего проходного светофора и дальнейшем следовании по блок-участку на локомотивном светофоре появится желтый или зеленый огонь, машинист может увеличить скорость движения, но не более 40 км/час, и следовать с особой бдительностью до следующего светофора.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неустойчивом показании огней на локомотивном светофоре во время следования по блок-участку машинист следует до следующего светофора со скоростью не более 20 км/час.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наличии разрешающего огня на локомотивном светофоре проходной светофор с погасшим огнем разрешается проследовать безостановочно, руководствуясь показаниями локомотивного светофора.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88.</w:t>
            </w:r>
            <w:r w:rsidRPr="00054348">
              <w:rPr>
                <w:rFonts w:cs="Times New Roman"/>
                <w:sz w:val="28"/>
                <w:szCs w:val="28"/>
              </w:rPr>
              <w:t xml:space="preserve"> При полуавтоматической блокировке: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разрешением на занятие поездом перегона служит разрешающее показание выходного или проходного светофора;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на однопутных участках для открытия выходного светофора необходимо предварительное получение от дежурного по станции смежной (соседней) станции, на которую отправляется поезд, блокировочного сигнала согласия и переключить блок-систему на соответствующее направление движения.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89.</w:t>
            </w:r>
            <w:r w:rsidRPr="00054348">
              <w:rPr>
                <w:rFonts w:cs="Times New Roman"/>
                <w:sz w:val="28"/>
                <w:szCs w:val="28"/>
              </w:rPr>
              <w:t xml:space="preserve"> При автоматической локомотивной сигнализации, применяемой как самостоятельное средство сигнализации и связи: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разрешением на занятие первого блок-участка служит разрешающее показание выходного светофора;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разрешением на занятие следующего блок-участка служит разрешающее показание локомотивного светофора.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При перерыве действия всех средств сигнализации и связи движение поездов производится на однопутных участках при посредстве письменных извещений, а на двухпутных участках - с разграничением временем, положенным на проследование поездом перегона между станциями.</w:t>
            </w:r>
          </w:p>
          <w:p w:rsidR="00B24A93" w:rsidRPr="00F803D4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054348">
              <w:rPr>
                <w:rFonts w:cs="Times New Roman"/>
                <w:sz w:val="28"/>
                <w:szCs w:val="28"/>
              </w:rPr>
              <w:t>Порядок организации движения поездов при перерыве действия всех средств сигнализации и связи установлен в приложении № 6 к Инструкции по движению поездов и маневровой работе на железнодорожном т</w:t>
            </w:r>
            <w:r>
              <w:rPr>
                <w:rFonts w:cs="Times New Roman"/>
                <w:sz w:val="28"/>
                <w:szCs w:val="28"/>
              </w:rPr>
              <w:t>ранспорте Российской Федерации.</w:t>
            </w: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Default="00B24A93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  <w:r w:rsidRPr="00526ED1">
              <w:rPr>
                <w:b/>
                <w:color w:val="000000"/>
                <w:sz w:val="28"/>
                <w:szCs w:val="28"/>
              </w:rPr>
              <w:lastRenderedPageBreak/>
              <w:t>Скорости движения поездов.</w:t>
            </w:r>
          </w:p>
          <w:p w:rsidR="00B24A93" w:rsidRPr="00526ED1" w:rsidRDefault="00B24A93" w:rsidP="00D76379">
            <w:pPr>
              <w:spacing w:line="360" w:lineRule="exact"/>
              <w:ind w:left="-57" w:right="-57"/>
              <w:rPr>
                <w:b/>
                <w:color w:val="000000"/>
                <w:sz w:val="28"/>
                <w:szCs w:val="28"/>
              </w:rPr>
            </w:pPr>
          </w:p>
        </w:tc>
      </w:tr>
      <w:tr w:rsidR="00B24A93" w:rsidRPr="00430EA0" w:rsidTr="00B24A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3" w:rsidRPr="00054348" w:rsidRDefault="00B24A93" w:rsidP="00B24A93">
            <w:pPr>
              <w:pStyle w:val="11"/>
              <w:shd w:val="clear" w:color="auto" w:fill="auto"/>
              <w:spacing w:before="0" w:after="0" w:line="360" w:lineRule="exact"/>
              <w:ind w:left="40" w:right="20"/>
              <w:rPr>
                <w:rFonts w:ascii="Times New Roman" w:hAnsi="Times New Roman"/>
                <w:b/>
                <w:sz w:val="28"/>
                <w:szCs w:val="28"/>
              </w:rPr>
            </w:pPr>
            <w:r w:rsidRPr="00054348">
              <w:rPr>
                <w:rFonts w:ascii="Times New Roman" w:hAnsi="Times New Roman"/>
                <w:b/>
                <w:sz w:val="28"/>
                <w:szCs w:val="28"/>
              </w:rPr>
              <w:t>90. Максимальные допускаемые на железнодорожном транспорте общего пользования скорости движения поездов в зависимости от конструкции железнодорожного пути и типов железнодорожного подвижного состава устанавливаются владельцем инфраструктуры в соответствии с настоящими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4348">
              <w:rPr>
                <w:rFonts w:ascii="Times New Roman" w:hAnsi="Times New Roman"/>
                <w:b/>
                <w:sz w:val="28"/>
                <w:szCs w:val="28"/>
              </w:rPr>
              <w:t>Правилами.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Скорости движения поездов по железнодорожным путям необщего пользования устанавливаются владельцем железнодорожных путей необщего пользования в соответствии с настоящими Правилами.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 xml:space="preserve">Скорости движения поездов по перегонам и станциям предусматриваются в </w:t>
            </w:r>
            <w:r w:rsidRPr="00054348">
              <w:rPr>
                <w:rFonts w:cs="Times New Roman"/>
                <w:b/>
                <w:sz w:val="28"/>
                <w:szCs w:val="28"/>
              </w:rPr>
              <w:lastRenderedPageBreak/>
              <w:t xml:space="preserve">графике движения поездов. При этом скорость движения на боковые  пути по стрелочным переводам с крестовиной марки 1/11 и круче должна быть не более </w:t>
            </w:r>
            <w:smartTag w:uri="urn:schemas-microsoft-com:office:smarttags" w:element="metricconverter">
              <w:smartTagPr>
                <w:attr w:name="ProductID" w:val="4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40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по стрелочным переводам марки 1/9 пассажирских поездов - не более </w:t>
            </w:r>
            <w:smartTag w:uri="urn:schemas-microsoft-com:office:smarttags" w:element="metricconverter">
              <w:smartTagPr>
                <w:attr w:name="ProductID" w:val="25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25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по переводам из рельсов типа Р65 с крестовиной марки 1/11 - не более </w:t>
            </w:r>
            <w:smartTag w:uri="urn:schemas-microsoft-com:office:smarttags" w:element="metricconverter">
              <w:smartTagPr>
                <w:attr w:name="ProductID" w:val="5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50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по симметричным стрелочным переводам с крестовиной марки 1/11 - не более </w:t>
            </w:r>
            <w:smartTag w:uri="urn:schemas-microsoft-com:office:smarttags" w:element="metricconverter">
              <w:smartTagPr>
                <w:attr w:name="ProductID" w:val="7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70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по переводам с крестовиной марки 1/18 - не более </w:t>
            </w:r>
            <w:smartTag w:uri="urn:schemas-microsoft-com:office:smarttags" w:element="metricconverter">
              <w:smartTagPr>
                <w:attr w:name="ProductID" w:val="8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80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с крестовиной марки 1/22 - не более </w:t>
            </w:r>
            <w:smartTag w:uri="urn:schemas-microsoft-com:office:smarttags" w:element="metricconverter">
              <w:smartTagPr>
                <w:attr w:name="ProductID" w:val="12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120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 xml:space="preserve">Скорость проследования поездами светофора с одним желтым (немигающим) огнем не должна превышать </w:t>
            </w:r>
            <w:smartTag w:uri="urn:schemas-microsoft-com:office:smarttags" w:element="metricconverter">
              <w:smartTagPr>
                <w:attr w:name="ProductID" w:val="6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60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а для пассажирских поездов, обращающихся со скоростью более </w:t>
            </w:r>
            <w:smartTag w:uri="urn:schemas-microsoft-com:office:smarttags" w:element="metricconverter">
              <w:smartTagPr>
                <w:attr w:name="ProductID" w:val="14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140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скорость проследования светофора с одним желтым (немигающим) огнем должна устанавливаться не более </w:t>
            </w:r>
            <w:smartTag w:uri="urn:schemas-microsoft-com:office:smarttags" w:element="metricconverter">
              <w:smartTagPr>
                <w:attr w:name="ProductID" w:val="10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100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Скорость проследования светофора с одним желтым (немигающим) огнем, расположенного на участке, оборудованном автоблокировкой, на расстоянии менее требуемого тормозного пути от следующего светофора, а на участке, не оборудованном автоблокировкой, расположенного от основного сигнала на расстоянии менее тормозного пути при полном служебном торможении, устанавливается, соответственно, владельцем инфраструктуры, владельцем  путей необщего пользования.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 xml:space="preserve">Скорость движения поезда вагонами вперед допускается не более </w:t>
            </w:r>
            <w:smartTag w:uri="urn:schemas-microsoft-com:office:smarttags" w:element="metricconverter">
              <w:smartTagPr>
                <w:attr w:name="ProductID" w:val="25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25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для хозяйственных поездов при наличии радиосвязи на локомотиве и ССПС в зависимости от конструкции ССПС, восстановительных и пожарных поездов - не более </w:t>
            </w:r>
            <w:smartTag w:uri="urn:schemas-microsoft-com:office:smarttags" w:element="metricconverter">
              <w:smartTagPr>
                <w:attr w:name="ProductID" w:val="4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40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>. Скорость следования снегоочистителей устанавливается, соответственно, владельцем инфраструктуры, владельцем  путей необщего пользования.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>При приеме на тупиковые станционные железнодорожные пути скорость движения поезда в начале железнодорожного пути приема должна быть не более 25 км/ч, для скоростных и высокоскоростных пассажирских поездов, обращающихся со скоростью более 140 км/ч, - не более 40 км/ч, а на железнодорожных путях необщего пользования - не более 15 км/ч.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 xml:space="preserve">Скорость движения поездов на  путях необщего пользования при приеме на частично занятые  пути или на технологические участки производства не должна превышать </w:t>
            </w:r>
            <w:smartTag w:uri="urn:schemas-microsoft-com:office:smarttags" w:element="metricconverter">
              <w:smartTagPr>
                <w:attr w:name="ProductID" w:val="15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15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 в начале пути приема.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 xml:space="preserve">Скорость движения мотор-вагонного поезда при приеме на свободный участок  пути, когда следующий участок этого  пути занят другим мотор-вагонным поездом, допускается не более </w:t>
            </w:r>
            <w:smartTag w:uri="urn:schemas-microsoft-com:office:smarttags" w:element="metricconverter">
              <w:smartTagPr>
                <w:attr w:name="ProductID" w:val="20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20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B24A93" w:rsidRPr="00054348" w:rsidRDefault="00B24A93" w:rsidP="00D763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54348">
              <w:rPr>
                <w:rFonts w:cs="Times New Roman"/>
                <w:b/>
                <w:sz w:val="28"/>
                <w:szCs w:val="28"/>
              </w:rPr>
              <w:t xml:space="preserve">Скорость движения по месту, требующему уменьшения скорости, должна соответствовать указанной в предупреждении или приказе, соответственно, владельца инфраструктуры, владельца  путей необщего пользования, а при отсутствии этих указаний - не более </w:t>
            </w:r>
            <w:smartTag w:uri="urn:schemas-microsoft-com:office:smarttags" w:element="metricconverter">
              <w:smartTagPr>
                <w:attr w:name="ProductID" w:val="25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25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 xml:space="preserve">, а на  путях необщего пользования - не более </w:t>
            </w:r>
            <w:smartTag w:uri="urn:schemas-microsoft-com:office:smarttags" w:element="metricconverter">
              <w:smartTagPr>
                <w:attr w:name="ProductID" w:val="15 км/ч"/>
              </w:smartTagPr>
              <w:r w:rsidRPr="00054348">
                <w:rPr>
                  <w:rFonts w:cs="Times New Roman"/>
                  <w:b/>
                  <w:sz w:val="28"/>
                  <w:szCs w:val="28"/>
                </w:rPr>
                <w:t>15 км/ч</w:t>
              </w:r>
            </w:smartTag>
            <w:r w:rsidRPr="00054348">
              <w:rPr>
                <w:rFonts w:cs="Times New Roman"/>
                <w:b/>
                <w:sz w:val="28"/>
                <w:szCs w:val="28"/>
              </w:rPr>
              <w:t>.</w:t>
            </w:r>
          </w:p>
        </w:tc>
      </w:tr>
    </w:tbl>
    <w:p w:rsidR="006C4129" w:rsidRPr="00B02812" w:rsidRDefault="006C4129" w:rsidP="006E337D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exact"/>
        <w:rPr>
          <w:b/>
          <w:bCs/>
          <w:sz w:val="28"/>
          <w:szCs w:val="28"/>
        </w:rPr>
      </w:pPr>
    </w:p>
    <w:sectPr w:rsidR="006C4129" w:rsidRPr="00B02812" w:rsidSect="005942FD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B17" w:rsidRDefault="003A5B17" w:rsidP="00E81ACC">
      <w:r>
        <w:separator/>
      </w:r>
    </w:p>
  </w:endnote>
  <w:endnote w:type="continuationSeparator" w:id="0">
    <w:p w:rsidR="003A5B17" w:rsidRDefault="003A5B17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B17" w:rsidRDefault="003A5B17" w:rsidP="00E81ACC">
      <w:r>
        <w:separator/>
      </w:r>
    </w:p>
  </w:footnote>
  <w:footnote w:type="continuationSeparator" w:id="0">
    <w:p w:rsidR="003A5B17" w:rsidRDefault="003A5B17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1F4003"/>
    <w:multiLevelType w:val="hybridMultilevel"/>
    <w:tmpl w:val="4D3A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71645"/>
    <w:multiLevelType w:val="hybridMultilevel"/>
    <w:tmpl w:val="4D3A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A04F6"/>
    <w:multiLevelType w:val="hybridMultilevel"/>
    <w:tmpl w:val="4D3A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16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1"/>
  </w:num>
  <w:num w:numId="17">
    <w:abstractNumId w:val="4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0"/>
    <w:rsid w:val="00010850"/>
    <w:rsid w:val="000123C8"/>
    <w:rsid w:val="000376B6"/>
    <w:rsid w:val="00041986"/>
    <w:rsid w:val="00042C81"/>
    <w:rsid w:val="00043F16"/>
    <w:rsid w:val="000626CD"/>
    <w:rsid w:val="000709F0"/>
    <w:rsid w:val="00072894"/>
    <w:rsid w:val="000C0ED8"/>
    <w:rsid w:val="000D3FAD"/>
    <w:rsid w:val="000D52C6"/>
    <w:rsid w:val="000F35AD"/>
    <w:rsid w:val="000F6421"/>
    <w:rsid w:val="00101C9D"/>
    <w:rsid w:val="00104FF2"/>
    <w:rsid w:val="00141BF1"/>
    <w:rsid w:val="00156E2A"/>
    <w:rsid w:val="00163D23"/>
    <w:rsid w:val="00191B12"/>
    <w:rsid w:val="001C01BB"/>
    <w:rsid w:val="001F3897"/>
    <w:rsid w:val="00231774"/>
    <w:rsid w:val="002526BE"/>
    <w:rsid w:val="00266D0C"/>
    <w:rsid w:val="00277708"/>
    <w:rsid w:val="002867D0"/>
    <w:rsid w:val="002960D4"/>
    <w:rsid w:val="002B69CF"/>
    <w:rsid w:val="002C3B35"/>
    <w:rsid w:val="002D1D4F"/>
    <w:rsid w:val="002E65E0"/>
    <w:rsid w:val="002F0BE8"/>
    <w:rsid w:val="003146AF"/>
    <w:rsid w:val="003152DE"/>
    <w:rsid w:val="003156FB"/>
    <w:rsid w:val="003254F5"/>
    <w:rsid w:val="0034009E"/>
    <w:rsid w:val="00343003"/>
    <w:rsid w:val="00346BA1"/>
    <w:rsid w:val="00372646"/>
    <w:rsid w:val="00381DDA"/>
    <w:rsid w:val="0039413D"/>
    <w:rsid w:val="00397DED"/>
    <w:rsid w:val="003A5B17"/>
    <w:rsid w:val="003E58C6"/>
    <w:rsid w:val="004172B2"/>
    <w:rsid w:val="0042345D"/>
    <w:rsid w:val="00430EA0"/>
    <w:rsid w:val="00432C43"/>
    <w:rsid w:val="00466970"/>
    <w:rsid w:val="00471996"/>
    <w:rsid w:val="0047712F"/>
    <w:rsid w:val="004A2453"/>
    <w:rsid w:val="004B34A4"/>
    <w:rsid w:val="004B646E"/>
    <w:rsid w:val="004C0010"/>
    <w:rsid w:val="004C409C"/>
    <w:rsid w:val="004D7732"/>
    <w:rsid w:val="004E5292"/>
    <w:rsid w:val="0051214A"/>
    <w:rsid w:val="00526ED1"/>
    <w:rsid w:val="0056560D"/>
    <w:rsid w:val="005942FD"/>
    <w:rsid w:val="005C65B6"/>
    <w:rsid w:val="005D5322"/>
    <w:rsid w:val="005D70E0"/>
    <w:rsid w:val="005E5FDE"/>
    <w:rsid w:val="005F1EF9"/>
    <w:rsid w:val="00605260"/>
    <w:rsid w:val="00605CD2"/>
    <w:rsid w:val="00645FBD"/>
    <w:rsid w:val="0065178E"/>
    <w:rsid w:val="006618CB"/>
    <w:rsid w:val="00662D23"/>
    <w:rsid w:val="00672887"/>
    <w:rsid w:val="006A413B"/>
    <w:rsid w:val="006C4129"/>
    <w:rsid w:val="006D28F6"/>
    <w:rsid w:val="006E337D"/>
    <w:rsid w:val="006E6E2B"/>
    <w:rsid w:val="00714841"/>
    <w:rsid w:val="00734426"/>
    <w:rsid w:val="0077068F"/>
    <w:rsid w:val="00785959"/>
    <w:rsid w:val="007D0484"/>
    <w:rsid w:val="007D425C"/>
    <w:rsid w:val="007F5F41"/>
    <w:rsid w:val="007F6E34"/>
    <w:rsid w:val="00802C00"/>
    <w:rsid w:val="0081567E"/>
    <w:rsid w:val="008729CF"/>
    <w:rsid w:val="00875DDB"/>
    <w:rsid w:val="008D3DD1"/>
    <w:rsid w:val="008F4A4D"/>
    <w:rsid w:val="0090089E"/>
    <w:rsid w:val="009332C8"/>
    <w:rsid w:val="00953DBF"/>
    <w:rsid w:val="0095748E"/>
    <w:rsid w:val="009715D5"/>
    <w:rsid w:val="009717AA"/>
    <w:rsid w:val="00986E52"/>
    <w:rsid w:val="009D1221"/>
    <w:rsid w:val="00A03051"/>
    <w:rsid w:val="00A1601D"/>
    <w:rsid w:val="00A17261"/>
    <w:rsid w:val="00A77A94"/>
    <w:rsid w:val="00AA4564"/>
    <w:rsid w:val="00AA49E3"/>
    <w:rsid w:val="00AB4D57"/>
    <w:rsid w:val="00AC0A61"/>
    <w:rsid w:val="00B10F67"/>
    <w:rsid w:val="00B24A93"/>
    <w:rsid w:val="00B26C32"/>
    <w:rsid w:val="00B621D9"/>
    <w:rsid w:val="00B726D5"/>
    <w:rsid w:val="00B74CB4"/>
    <w:rsid w:val="00B951BC"/>
    <w:rsid w:val="00BA1D5F"/>
    <w:rsid w:val="00BC41BC"/>
    <w:rsid w:val="00C351C8"/>
    <w:rsid w:val="00C40A92"/>
    <w:rsid w:val="00C5483F"/>
    <w:rsid w:val="00C57A98"/>
    <w:rsid w:val="00C83BA8"/>
    <w:rsid w:val="00CD5421"/>
    <w:rsid w:val="00CF0A05"/>
    <w:rsid w:val="00D05123"/>
    <w:rsid w:val="00D11B54"/>
    <w:rsid w:val="00D12927"/>
    <w:rsid w:val="00D2530C"/>
    <w:rsid w:val="00D61927"/>
    <w:rsid w:val="00D715BE"/>
    <w:rsid w:val="00D76379"/>
    <w:rsid w:val="00D810C4"/>
    <w:rsid w:val="00D8736A"/>
    <w:rsid w:val="00D92CB6"/>
    <w:rsid w:val="00DD55BB"/>
    <w:rsid w:val="00DD7283"/>
    <w:rsid w:val="00E15E33"/>
    <w:rsid w:val="00E2773F"/>
    <w:rsid w:val="00E32720"/>
    <w:rsid w:val="00E433F6"/>
    <w:rsid w:val="00E53754"/>
    <w:rsid w:val="00E81ACC"/>
    <w:rsid w:val="00E84036"/>
    <w:rsid w:val="00EB18DB"/>
    <w:rsid w:val="00EB3C78"/>
    <w:rsid w:val="00EB413E"/>
    <w:rsid w:val="00EC2E5B"/>
    <w:rsid w:val="00EE0270"/>
    <w:rsid w:val="00EF1480"/>
    <w:rsid w:val="00F265E9"/>
    <w:rsid w:val="00F41A41"/>
    <w:rsid w:val="00F6035C"/>
    <w:rsid w:val="00F665A1"/>
    <w:rsid w:val="00F7600D"/>
    <w:rsid w:val="00F77FCC"/>
    <w:rsid w:val="00F803D4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D1FE58C-7281-488B-854E-CF3379BA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3E58C6"/>
    <w:pPr>
      <w:tabs>
        <w:tab w:val="left" w:pos="375"/>
      </w:tabs>
      <w:suppressAutoHyphens/>
      <w:spacing w:line="360" w:lineRule="exact"/>
      <w:ind w:left="174" w:right="-57"/>
    </w:pPr>
    <w:rPr>
      <w:rFonts w:eastAsia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3E58C6"/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  <w:style w:type="character" w:customStyle="1" w:styleId="af">
    <w:name w:val="Основной текст_"/>
    <w:basedOn w:val="a0"/>
    <w:link w:val="11"/>
    <w:rsid w:val="00D7637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D76379"/>
    <w:pPr>
      <w:widowControl w:val="0"/>
      <w:shd w:val="clear" w:color="auto" w:fill="FFFFFF"/>
      <w:spacing w:before="900" w:after="600" w:line="320" w:lineRule="exact"/>
      <w:jc w:val="both"/>
    </w:pPr>
    <w:rPr>
      <w:rFonts w:ascii="Calibri" w:hAnsi="Calibri" w:cs="Times New Roman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D6192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1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46</cp:revision>
  <cp:lastPrinted>2020-05-18T10:27:00Z</cp:lastPrinted>
  <dcterms:created xsi:type="dcterms:W3CDTF">2018-08-08T13:46:00Z</dcterms:created>
  <dcterms:modified xsi:type="dcterms:W3CDTF">2020-05-18T10:27:00Z</dcterms:modified>
</cp:coreProperties>
</file>