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B9" w:rsidRPr="00356BB9" w:rsidRDefault="00356BB9" w:rsidP="00AF47A9">
      <w:pPr>
        <w:pStyle w:val="1"/>
        <w:ind w:firstLine="709"/>
        <w:jc w:val="center"/>
        <w:rPr>
          <w:rFonts w:ascii="Arial" w:hAnsi="Arial" w:cs="Arial"/>
          <w:color w:val="000000"/>
        </w:rPr>
      </w:pPr>
      <w:r w:rsidRPr="00356BB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Задачи и организационная структура материально-технического обеспечения</w:t>
      </w:r>
      <w:r>
        <w:rPr>
          <w:rFonts w:ascii="Arial" w:eastAsia="Times New Roman" w:hAnsi="Arial" w:cs="Arial"/>
          <w:b w:val="0"/>
          <w:bCs w:val="0"/>
          <w:color w:val="000000"/>
          <w:sz w:val="27"/>
          <w:szCs w:val="27"/>
          <w:lang w:eastAsia="ru-RU"/>
        </w:rPr>
        <w:t xml:space="preserve">. </w:t>
      </w:r>
      <w:r w:rsidR="001303B3">
        <w:rPr>
          <w:rFonts w:ascii="Arial" w:hAnsi="Arial" w:cs="Arial"/>
          <w:color w:val="000000"/>
        </w:rPr>
        <w:t>Организация</w:t>
      </w:r>
      <w:r>
        <w:rPr>
          <w:rFonts w:ascii="Arial" w:hAnsi="Arial" w:cs="Arial"/>
          <w:color w:val="000000"/>
        </w:rPr>
        <w:t xml:space="preserve"> материально-технического обеспечения. Складское хозяйство.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Стабильное и устойчивое функционирование железнодорожного транспорта требует бесперебойного снабжения его подразделений материалами, топливом, запасными частями, оборудованием, инвентарем и другими материально-техническими ресурсами (МТР) необходимого качества и объема в установленные сроки. Несвоевременное и неполное выполнение этих функций органами материально-технического обеспечения влияет на качество перевозочного процесса и конкурентоспособность предприятий железнодорожного транспорта.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Материально-техническое обеспечение (МТО) представляет собой систему планирования и организации закупок, поставок, распределения, хранения, учета и контроля использования материально-технических ресурсов.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Снижение материальной составляющей в эксплуатационных расходах железных дорог при обеспечении надежной и безопасной работы железнодорожного транспорта является главной целью системы материально-технического обеспечения.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Для достижения этой цели должны решаться следующие задачи: определение обоснованной потребности предприятий в МТР по номенклатуре, объему и качеству, формирование рациональных хозяйственных связей с поставщиками МТР, размещение заказов и закупка необходимых МТР у отечественных и зарубежных поставщиков, а также их последующее рациональное распределение по предприятиям ОАО «РЖД» (с учетом заказов и запасов), организация и контроль поставок, хранения и использования МТР и другие. Важную роль при выполнении этих задач играют совершенствование системы учета и отчетности, внедрение передовых информационных технологий.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Структура управления МТО в целом соответствует корпоративной структуре ОАО «Российские железные дороги» — владельца железнодорожной инфраструктуры и основного перевозчика в стране. На верхнем уровне системы управления МТО на железнодорожном транспорте находятся: отраслевой филиал ОАО «РЖД» — Дирекция «Росжелдорснаб» и Управление планирования и нормирования материально-технических ресурсов ОАО «РЖД».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lastRenderedPageBreak/>
        <w:t>Дирекция «Росжелдорснаб» осуществляет управленческую деятельность в сфере МТО и организации поставок МТР для нужд ОАО «РЖД». Для организации централизованного снабжения предприятий материальными ресурсами в распоряжении «Росжелдорснаба» находятся базы «Спецжелдорснаба». На уровне железных дорог в структуру «Росжелдорснаба» входят региональные Дирекции по материально-техническому снабжению, оказывающие услуги по снабжению МТР, складской переработке грузов, транспортной обработке подвижного состава (включая перевалку с железнодорожного на автомобильный транспорт и обратно), а на уровне отделений железных дорог — отделы ДМТО.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Для организации централизованного снабжения предприятий материальными ресурсами в распоряжении каждой региональной Дирекции находится Главный материальный склад железной дороги и материальные склады отделений железной дороги.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Линейные предприятия и структурные производственные подразделения железнодорожного транспорта, потребляющие материальные ресурсы, имеют в своем штате секторы и группы снабжения, в распоряжении которых находятся кладовые линейных предприятий.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Система МТО выполняет две функции — управления и производственно-хозяйственную 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Первая функция состоит в разработке нормативов и плановых заданий для органов управления низового уровня, а также в руководстве исполнения оперативных и перспективных задач, нормировании расхода материальных ресурсов, спецификации выделенных фондов, формировании нарядов и др.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Вторая функция относится к объектам складского хозяйства — базам «Спецжелдорснаба», главным материальным складам дорог, складам и кладовым линейных подразделений. Задачей складских объектов является организация складирования, хранения, отгрузки потребителям материальных ресурсов.</w:t>
      </w:r>
    </w:p>
    <w:p w:rsidR="00C87B2C" w:rsidRDefault="00356BB9" w:rsidP="00AF47A9">
      <w:pPr>
        <w:ind w:firstLine="709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Указанная система материально-технического снабжения обеспечивает подразделения железнодорожного транспорта всей необходимой номенклатурой материалов, оборудования и запасных частей.</w:t>
      </w:r>
    </w:p>
    <w:p w:rsidR="00356BB9" w:rsidRDefault="00356BB9" w:rsidP="00AF47A9">
      <w:pPr>
        <w:pStyle w:val="1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Огранизация материально-технического обеспечения.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Организация МТО предусматривает формирование заявок, планирование и осуществление закупок и поставок материалов на склады железных дорог и их структурных подразделений с последующим их распределением в соответствии с заявками.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Разработка плана материально-технического обеспечения основана на делении всех ресурсов на номенклатуру централизованной поставки и децентрализованной заготовки. К первой группе относятся топливо, материалы, оборудование и запасные части, поставки которых оказывают основное влияние на устойчивую и бесперебойную работу железных дорог. За эту группу отвечает «Росжелдор- снаб» (примерно 80 % поставок). Ко второй группе относятся МТР, планируемые органами снабжения железных дорог и отраслевых дирекций.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Количество номенклатурных позиций важнейших запчастей, оборудования и материалов централизованного планирования составляет более 2800 единиц, среди них: запасные части для подвижного состава, материалы верхнего строения пути, кабельная и электротехническая продукция, транспортные средства, энергетические узлы и нефтепродукция, лесоматериалы, дорожно-строительная техника, спецодежда и др.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В настоящее время сбор заявок, планирование и выполнение закупок, поставка материалов для подразделений железных дорог организуется в два этапа следующим образом. На первом этапе осуществляется подача заявок и формируется план поставок. На втором этапе выполняется закупка и доставка материалов.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На первом этапе устанавливается право (предельный уровень) на поставки для технических служб и подведомственных структурных подразделений — за 60 дней до начала планируемого квартала. Далее технические службы формируют сводную заявку с группировкой по структурным подразделениям за 30 дней до начала квартала. За 25 дней Дирекция по материально-техническому обеспечению (ДМТО) формирует предварительный план поставок и направляет его в техническую службу соответствующего отраслевого хозяйства (пути, С ЦБ, энергоснабжения и др.), а после его корректировки в технических службах формирует окончательный план поставок за 5 дней до начала планируемого квартала.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На втором этапе закупки и поставок ДМТО формирует заявку в «Росжелдорснаб» с учетом части для самостоятельных закупок (до 20</w:t>
      </w:r>
      <w:r>
        <w:rPr>
          <w:rFonts w:ascii="Arial" w:hAnsi="Arial" w:cs="Arial"/>
          <w:b/>
          <w:bCs/>
          <w:color w:val="373D3F"/>
          <w:sz w:val="27"/>
          <w:szCs w:val="27"/>
        </w:rPr>
        <w:t> %).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lastRenderedPageBreak/>
        <w:t>«Росжелдорснаб» после утверждения тендерной комиссией определяет поставщиков и осуществляет закупки. Материалы в соответствии с планом поставок доставляются на склады ДМТО, о чем информируются отделы МТО и затем материалы поставляются на склады этих отделов и далее в соответствии с разнарядкой на склады и кладовые соответствующих структурных подразделений.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Аналогично выполняется закупка и поставка материалов, выполняемая самой ДМТО, а также в отраслевых вертикально интегрированных дирекциях — Федеральной пассажирской дирекции, Дирекции по ремонту грузовых вагонов, Дирекции управления движением и др.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Разработка стратегического плана МТО начинается с уточнения перспективной номенклатуры потребляемых ресурсов, на основе анализа плана капитальных вложений, инновационной деятельности, тенденций НТП и стратегии транспортного развития. В результате формируется прогноз по потребностям в новых МТР, и снижается количество номенклатур ранее применявшихся материалов.</w:t>
      </w:r>
    </w:p>
    <w:p w:rsidR="00356BB9" w:rsidRDefault="00356BB9" w:rsidP="00AF47A9">
      <w:pPr>
        <w:pStyle w:val="1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Складское хозяйство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В настоящее время в системе материально-технического обеспечения железных дорог имеются склады следующего назначения: 1. Базисные склады, находящиеся в ведении «Росжелдорснаба» — базы «Спецжелдорснаба»; 2. На железных дорогах — главные и отделенческие материальные склады региональных Дирекций материально-технического обеспечения; 3. На линейных предприятиях — линейные склады, являющиеся филиалами отделенческих, а, в отдельных случаях — и главных складов и производственных кладовых структурных подразделений.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На базах «Спецжелдорснаба» сосредоточены запасы наиболее важных комплектующих, агрегатов и ценных материалов, которые в соответствии с планом поставок направляются на главные материальные склады железных дорог.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  <w:r>
        <w:rPr>
          <w:rFonts w:ascii="Arial" w:hAnsi="Arial" w:cs="Arial"/>
          <w:color w:val="373D3F"/>
          <w:sz w:val="27"/>
          <w:szCs w:val="27"/>
        </w:rPr>
        <w:t>Главные и отделенческие материальные склады являются оптовыми в пределах своего подразделения, в них хранятся основные запасы дороги и региональных отраслевых дирекций. При складах имеются мастерские для ремонта оборудования и тары.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В линейных материальных складах, расположенных на определенных станциях, и кладовых структурных подразделений хранятся ходовые материалы для потребителей.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lastRenderedPageBreak/>
        <w:t>Движение материальных ресурсов по иерархическим уровням системы материально-технического обеспечения через складское хозяйство показано на рис. 26.1.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При широком ассортименте хранимых материалов, разнообразии их физико-химических свойств, с учетом климатических условий, приходится применять необходимые меры предосторожности. Например, для случаев, когда материалы пылят, выделяют пары и газы, предусматривают искусственную вентиляцию складов.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По своему устройству склады могут быть: закрытыми, отапливаемыми и неотапливаемыми; в виде навесов, имеющие только кры-</w:t>
      </w:r>
    </w:p>
    <w:p w:rsidR="00356BB9" w:rsidRPr="00356BB9" w:rsidRDefault="00356BB9" w:rsidP="00AF47A9">
      <w:pPr>
        <w:spacing w:line="240" w:lineRule="auto"/>
        <w:ind w:firstLine="709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3676650"/>
            <wp:effectExtent l="19050" t="0" r="0" b="0"/>
            <wp:docPr id="1" name="Рисунок 1" descr="Потоки материальных ресурсов в системе материально-технического обеспечения железных дорог шу; с высокими и низкими платформами; с открытыми площадками на уровне пола вагона или на уровне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токи материальных ресурсов в системе материально-технического обеспечения железных дорог шу; с высокими и низкими платформами; с открытыми площадками на уровне пола вагона или на уровне земл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Рис. 26.1. Потоки материальных ресурсов в системе материально-технического обеспечения железных дорог шу; с высокими и низкими платформами; с открытыми площадками на уровне пола вагона или на уровне земли.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Складские помещения бывают специализированными — для хранения определенного материала и универсальными — для хранения различных материалов.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 xml:space="preserve">Кроме того, склады делятся на топливные и материальные. Топливные (нефтяные, дизельного топлива, угольные, дровяные и смешанные) склады предназначены для хранения и снабжения потребителей топливом для тепловозов, электростанций, автомобилей и 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lastRenderedPageBreak/>
        <w:t>других объектов на станциях, а также локомотивных и вагонных депо. Твердое топливо хранится на ровных площадках, жидкое — в специальных металлических или железобетонных резервуарах (наземных и подземных).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Материальные склады (рис. 26.2) предназначены для хранения различных материалов, оборудования, запчастей и снабжения ими потребителей. Склады оснащаются средствами механизации, весовыми устройствами, противопожарным оборудованием, водопроводом, освещением. Материалы на складах размещаются с учетом их сортности, размеров, сроков поступления, хранения и других требо-</w:t>
      </w:r>
    </w:p>
    <w:p w:rsidR="00356BB9" w:rsidRPr="00356BB9" w:rsidRDefault="00356BB9" w:rsidP="00AF47A9">
      <w:pPr>
        <w:spacing w:line="240" w:lineRule="auto"/>
        <w:ind w:firstLine="709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2392292"/>
            <wp:effectExtent l="19050" t="0" r="0" b="0"/>
            <wp:docPr id="2" name="Рисунок 2" descr="Материальный скл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ериальный скла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39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Рис. 26.2. Материальный склад: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контора;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2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кладовая;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3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мастерская и навес для тары;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4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площадка для лесоматериалов;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5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кладовая для съемного оборудования;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6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кладовая запасных частей; 7 — кладовая строительных материалов;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8—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навес для металла;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9 —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главная кладовая;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/0—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кладовая электротехнической продукции;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11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хранилище для бензина и керосина;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12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кладовая химических материалов;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13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пожарный водоем;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14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котельная и склад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топлива; </w:t>
      </w:r>
      <w:r w:rsidRPr="00356BB9">
        <w:rPr>
          <w:rFonts w:ascii="Arial" w:eastAsia="Times New Roman" w:hAnsi="Arial" w:cs="Arial"/>
          <w:i/>
          <w:iCs/>
          <w:color w:val="373D3F"/>
          <w:sz w:val="27"/>
          <w:szCs w:val="27"/>
          <w:lang w:eastAsia="ru-RU"/>
        </w:rPr>
        <w:t>15</w:t>
      </w: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 — туалет ваний. Установлен определенный порядок учета материалов и отпуска их потребителям.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t>У большинства закрытых складов современной постройки обычно высота помещений достигает 6 м. Основными видами применяемого здесь оборудования, как правило, являются трехъярусные каркасные стеллажи, электропогрузчики или электроштабелеры с высотой подъема вил 4,5—5 м. При использовании электропогрузчиков проезды между стеллажами составляют около 3,5 м, что соответствует удельной полезной нагрузке 0,7—0,8 т на квадратный метр общей площади. При применении электроштабелеров с выдвижными вилами этот показатель повышается до 1,2 т/кв.м вследствие уменьшения ширины проездов до 2,5—2,7 м.</w:t>
      </w:r>
    </w:p>
    <w:p w:rsidR="00356BB9" w:rsidRPr="00356BB9" w:rsidRDefault="00356BB9" w:rsidP="00AF47A9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373D3F"/>
          <w:sz w:val="27"/>
          <w:szCs w:val="27"/>
          <w:lang w:eastAsia="ru-RU"/>
        </w:rPr>
      </w:pPr>
      <w:r w:rsidRPr="00356BB9">
        <w:rPr>
          <w:rFonts w:ascii="Arial" w:eastAsia="Times New Roman" w:hAnsi="Arial" w:cs="Arial"/>
          <w:color w:val="373D3F"/>
          <w:sz w:val="27"/>
          <w:szCs w:val="27"/>
          <w:lang w:eastAsia="ru-RU"/>
        </w:rPr>
        <w:lastRenderedPageBreak/>
        <w:t>Современные склады оборудуются также системами автоматизированного управления складскими процессами. В зависимости от объема товаров на складе используются различные средства вычислительной техники и информационных технологий.</w:t>
      </w:r>
    </w:p>
    <w:p w:rsidR="00356BB9" w:rsidRDefault="00356BB9" w:rsidP="00AF47A9">
      <w:pPr>
        <w:pStyle w:val="a5"/>
        <w:ind w:firstLine="709"/>
        <w:jc w:val="both"/>
        <w:rPr>
          <w:rFonts w:ascii="Arial" w:hAnsi="Arial" w:cs="Arial"/>
          <w:color w:val="373D3F"/>
          <w:sz w:val="27"/>
          <w:szCs w:val="27"/>
        </w:rPr>
      </w:pPr>
    </w:p>
    <w:p w:rsidR="00356BB9" w:rsidRPr="00356BB9" w:rsidRDefault="00356BB9" w:rsidP="00AF47A9">
      <w:pPr>
        <w:ind w:firstLine="709"/>
      </w:pPr>
    </w:p>
    <w:sectPr w:rsidR="00356BB9" w:rsidRPr="00356BB9" w:rsidSect="00C87B2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8D" w:rsidRDefault="0005608D" w:rsidP="006A156E">
      <w:pPr>
        <w:spacing w:line="240" w:lineRule="auto"/>
      </w:pPr>
      <w:r>
        <w:separator/>
      </w:r>
    </w:p>
  </w:endnote>
  <w:endnote w:type="continuationSeparator" w:id="1">
    <w:p w:rsidR="0005608D" w:rsidRDefault="0005608D" w:rsidP="006A1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006610"/>
      <w:docPartObj>
        <w:docPartGallery w:val="Page Numbers (Bottom of Page)"/>
        <w:docPartUnique/>
      </w:docPartObj>
    </w:sdtPr>
    <w:sdtContent>
      <w:p w:rsidR="006A156E" w:rsidRDefault="006A156E">
        <w:pPr>
          <w:pStyle w:val="aa"/>
          <w:jc w:val="center"/>
        </w:pPr>
        <w:fldSimple w:instr=" PAGE   \* MERGEFORMAT ">
          <w:r w:rsidR="001303B3">
            <w:rPr>
              <w:noProof/>
            </w:rPr>
            <w:t>1</w:t>
          </w:r>
        </w:fldSimple>
      </w:p>
    </w:sdtContent>
  </w:sdt>
  <w:p w:rsidR="006A156E" w:rsidRDefault="006A156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8D" w:rsidRDefault="0005608D" w:rsidP="006A156E">
      <w:pPr>
        <w:spacing w:line="240" w:lineRule="auto"/>
      </w:pPr>
      <w:r>
        <w:separator/>
      </w:r>
    </w:p>
  </w:footnote>
  <w:footnote w:type="continuationSeparator" w:id="1">
    <w:p w:rsidR="0005608D" w:rsidRDefault="0005608D" w:rsidP="006A15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670BA"/>
    <w:multiLevelType w:val="multilevel"/>
    <w:tmpl w:val="DA02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E23DED"/>
    <w:multiLevelType w:val="multilevel"/>
    <w:tmpl w:val="DA82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BB9"/>
    <w:rsid w:val="0005608D"/>
    <w:rsid w:val="001166BD"/>
    <w:rsid w:val="001303B3"/>
    <w:rsid w:val="00356BB9"/>
    <w:rsid w:val="00451C43"/>
    <w:rsid w:val="0062451C"/>
    <w:rsid w:val="006A156E"/>
    <w:rsid w:val="00AF47A9"/>
    <w:rsid w:val="00C44783"/>
    <w:rsid w:val="00C8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C"/>
  </w:style>
  <w:style w:type="paragraph" w:styleId="1">
    <w:name w:val="heading 1"/>
    <w:basedOn w:val="a"/>
    <w:next w:val="a"/>
    <w:link w:val="10"/>
    <w:uiPriority w:val="9"/>
    <w:qFormat/>
    <w:rsid w:val="00356B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356BB9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56BB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6BB9"/>
    <w:rPr>
      <w:b/>
      <w:bCs/>
    </w:rPr>
  </w:style>
  <w:style w:type="character" w:styleId="a4">
    <w:name w:val="Hyperlink"/>
    <w:basedOn w:val="a0"/>
    <w:uiPriority w:val="99"/>
    <w:semiHidden/>
    <w:unhideWhenUsed/>
    <w:rsid w:val="00356B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56BB9"/>
    <w:rPr>
      <w:rFonts w:eastAsia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56BB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6BB9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356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B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A156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156E"/>
  </w:style>
  <w:style w:type="paragraph" w:styleId="aa">
    <w:name w:val="footer"/>
    <w:basedOn w:val="a"/>
    <w:link w:val="ab"/>
    <w:uiPriority w:val="99"/>
    <w:unhideWhenUsed/>
    <w:rsid w:val="006A156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1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1710</Words>
  <Characters>9751</Characters>
  <Application>Microsoft Office Word</Application>
  <DocSecurity>0</DocSecurity>
  <Lines>81</Lines>
  <Paragraphs>22</Paragraphs>
  <ScaleCrop>false</ScaleCrop>
  <Company/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2025-04-30T08:19:00Z</dcterms:created>
  <dcterms:modified xsi:type="dcterms:W3CDTF">2025-04-30T08:38:00Z</dcterms:modified>
</cp:coreProperties>
</file>