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CA1">
        <w:rPr>
          <w:rFonts w:ascii="Times New Roman" w:hAnsi="Times New Roman" w:cs="Times New Roman"/>
          <w:b/>
          <w:sz w:val="24"/>
          <w:szCs w:val="24"/>
        </w:rPr>
        <w:t>3 Расчет месячного фонда заработанной платы</w:t>
      </w:r>
    </w:p>
    <w:p w:rsidR="00492CA1" w:rsidRPr="00492CA1" w:rsidRDefault="00492CA1" w:rsidP="00492CA1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CA1" w:rsidRPr="00492CA1" w:rsidRDefault="00492CA1" w:rsidP="00492CA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В дистанциях пути, на работах по текущему содержанию в зависимости от местных условий установлена повременно-премиальная оплата труда. Сущность ее заключается в следующем: за каждой бригадой закрепляется определенный участок пути для ухода за ним; бригада обязана на этом участке выполнять все работы для поддержания пути в технически исправном состоянии, т.е. обеспечивать безопасное и бесперебойное движение поездов с установленными скоростями.</w:t>
      </w:r>
    </w:p>
    <w:p w:rsidR="00492CA1" w:rsidRPr="00492CA1" w:rsidRDefault="00492CA1" w:rsidP="00492CA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Оплата труда монтеров пути при коллективном подряде устанавливается исходя из расчетного контингента работников в соответствии с нормами расхода рабочей силы, часовой тарифной ставки, среднего разряда выполняемых работ и среднемесячного баланса рабочего времени с добавлением средств на премирование, доплаты и надбавки, установленные законодательством РФ.</w:t>
      </w:r>
    </w:p>
    <w:p w:rsidR="00492CA1" w:rsidRPr="00492CA1" w:rsidRDefault="00492CA1" w:rsidP="00492CA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При применении повременно-премиальной системы фонд оплаты труда планируется исходя из реального количества,  работающих в бригаде человек.</w:t>
      </w:r>
    </w:p>
    <w:p w:rsidR="00492CA1" w:rsidRPr="00492CA1" w:rsidRDefault="00492CA1" w:rsidP="00492CA1">
      <w:pPr>
        <w:spacing w:after="0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92CA1">
        <w:rPr>
          <w:rFonts w:ascii="Times New Roman" w:hAnsi="Times New Roman" w:cs="Times New Roman"/>
          <w:spacing w:val="-4"/>
          <w:sz w:val="24"/>
          <w:szCs w:val="24"/>
        </w:rPr>
        <w:t>Документом, по которому производится планирование и учет работы и оплаты труда путевой бригады, является журнал планирования работ по текущему содержанию пути и сооружений и оценки их состояния (форма ПУ-74).</w:t>
      </w:r>
    </w:p>
    <w:p w:rsidR="00492CA1" w:rsidRPr="00492CA1" w:rsidRDefault="00492CA1" w:rsidP="00492CA1">
      <w:pPr>
        <w:spacing w:after="0"/>
        <w:ind w:firstLine="720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92CA1">
        <w:rPr>
          <w:rFonts w:ascii="Times New Roman" w:hAnsi="Times New Roman" w:cs="Times New Roman"/>
          <w:spacing w:val="-20"/>
          <w:sz w:val="24"/>
          <w:szCs w:val="24"/>
        </w:rPr>
        <w:t>Порядок распределения фактического фонда оплаты труда между членами бригады устанавливается положением, разработанным дистанций пути, по согласованию с коллективом бригады и базируется на следующем принципе: каждый рабочий получает тарифную часть по присвоенному разряду, а  премиальная часть фонда оплаты труда распределяются по коэффициенту трудового участия.</w:t>
      </w:r>
    </w:p>
    <w:p w:rsidR="00492CA1" w:rsidRPr="00492CA1" w:rsidRDefault="00492CA1" w:rsidP="00492C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1" w:rsidRPr="00492CA1" w:rsidRDefault="00492CA1" w:rsidP="00492CA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92CA1" w:rsidRPr="00492CA1" w:rsidRDefault="00492CA1" w:rsidP="00492CA1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CA1">
        <w:rPr>
          <w:rFonts w:ascii="Times New Roman" w:hAnsi="Times New Roman" w:cs="Times New Roman"/>
          <w:b/>
          <w:sz w:val="24"/>
          <w:szCs w:val="24"/>
        </w:rPr>
        <w:t>3.1Определение контингента и фонда заработанной платы работников охраны</w:t>
      </w:r>
    </w:p>
    <w:p w:rsidR="00492CA1" w:rsidRPr="00492CA1" w:rsidRDefault="00492CA1" w:rsidP="00492CA1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CA1" w:rsidRPr="00492CA1" w:rsidRDefault="00492CA1" w:rsidP="00492CA1">
      <w:pPr>
        <w:spacing w:after="0"/>
        <w:ind w:firstLine="72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92CA1">
        <w:rPr>
          <w:rFonts w:ascii="Times New Roman" w:hAnsi="Times New Roman" w:cs="Times New Roman"/>
          <w:spacing w:val="-6"/>
          <w:sz w:val="24"/>
          <w:szCs w:val="24"/>
        </w:rPr>
        <w:t>Контингент рабочих по охране пути, переводов и сооружений устанавливают по числу охраняемых объектов и продолжительности охраны в сменах:</w:t>
      </w:r>
    </w:p>
    <w:p w:rsidR="00492CA1" w:rsidRPr="00492CA1" w:rsidRDefault="00492CA1" w:rsidP="00492CA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при круглосуточной охране – 4,5 человека;</w:t>
      </w:r>
    </w:p>
    <w:p w:rsidR="00492CA1" w:rsidRPr="00492CA1" w:rsidRDefault="00492CA1" w:rsidP="00492CA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при двухсменной охране – 3,0 человека.</w:t>
      </w:r>
    </w:p>
    <w:p w:rsidR="00492CA1" w:rsidRPr="00492CA1" w:rsidRDefault="00492CA1" w:rsidP="00492CA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В нормах учтены расходы на замещение рабочих охраны, находящихся на выполнении общественных обязанностей, на период выходных, праздничных дней и т.д. Расчет контингента и фонда заработанной платы производится в таблице 2. Дежурные по переезду работают по 2 – 4  разряду.</w:t>
      </w:r>
    </w:p>
    <w:p w:rsidR="00492CA1" w:rsidRPr="00492CA1" w:rsidRDefault="00492CA1" w:rsidP="00492CA1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  <w:sectPr w:rsidR="00492CA1" w:rsidRPr="00492CA1" w:rsidSect="005F47F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492CA1">
        <w:rPr>
          <w:rFonts w:ascii="Times New Roman" w:hAnsi="Times New Roman" w:cs="Times New Roman"/>
          <w:sz w:val="24"/>
          <w:szCs w:val="24"/>
        </w:rPr>
        <w:t>Фонд заработанной платы в месяц определяется умножением зарплаты в месяц на плановую потребность рабочей силы.</w:t>
      </w:r>
    </w:p>
    <w:p w:rsidR="00492CA1" w:rsidRPr="00492CA1" w:rsidRDefault="00492CA1" w:rsidP="00492CA1">
      <w:pPr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lastRenderedPageBreak/>
        <w:t>Таблица 2 Определение контингента и фонда заработной платы для работников охраны.</w:t>
      </w:r>
    </w:p>
    <w:p w:rsidR="00492CA1" w:rsidRPr="00492CA1" w:rsidRDefault="00492CA1" w:rsidP="00492C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CA1" w:rsidRPr="00492CA1" w:rsidRDefault="00492CA1" w:rsidP="00492C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2CA1" w:rsidRPr="00492CA1" w:rsidRDefault="00492CA1" w:rsidP="00492CA1">
      <w:pPr>
        <w:ind w:left="-360"/>
        <w:jc w:val="both"/>
        <w:rPr>
          <w:rFonts w:ascii="Times New Roman" w:hAnsi="Times New Roman" w:cs="Times New Roman"/>
          <w:sz w:val="24"/>
          <w:szCs w:val="24"/>
        </w:rPr>
        <w:sectPr w:rsidR="00492CA1" w:rsidRPr="00492CA1" w:rsidSect="005F47FE">
          <w:pgSz w:w="16838" w:h="11906" w:orient="landscape"/>
          <w:pgMar w:top="1134" w:right="567" w:bottom="1134" w:left="1701" w:header="709" w:footer="709" w:gutter="0"/>
          <w:cols w:space="708"/>
          <w:docGrid w:linePitch="360"/>
        </w:sectPr>
      </w:pPr>
      <w:r w:rsidRPr="00492CA1">
        <w:rPr>
          <w:rFonts w:ascii="Times New Roman" w:hAnsi="Times New Roman" w:cs="Times New Roman"/>
          <w:sz w:val="24"/>
          <w:szCs w:val="24"/>
        </w:rPr>
        <w:object w:dxaOrig="13910" w:dyaOrig="2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5.5pt;height:114pt" o:ole="">
            <v:imagedata r:id="rId4" o:title=""/>
          </v:shape>
          <o:OLEObject Type="Embed" ProgID="Excel.Sheet.8" ShapeID="_x0000_i1025" DrawAspect="Content" ObjectID="_1803108026" r:id="rId5"/>
        </w:objec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CA1">
        <w:rPr>
          <w:rFonts w:ascii="Times New Roman" w:hAnsi="Times New Roman" w:cs="Times New Roman"/>
          <w:b/>
          <w:sz w:val="24"/>
          <w:szCs w:val="24"/>
        </w:rPr>
        <w:lastRenderedPageBreak/>
        <w:t>3.2 Определение потребного цехового персонала и месячного фонда заработной платы на его содержание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Потребность цехового персонала определяется в соответствии с тепловым штатным расписанием и формой организационной структуры линейного околотка.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Для бригадиров пути должностные оклады устанавливаются по тарифной сетке (6-7 разряд).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 xml:space="preserve">Для дорожных мастеров фиксированная заработная плата в зависимости от сложности участника и наличия стрелочных переводов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492CA1">
        <w:rPr>
          <w:rFonts w:ascii="Times New Roman" w:hAnsi="Times New Roman" w:cs="Times New Roman"/>
          <w:sz w:val="24"/>
          <w:szCs w:val="24"/>
        </w:rPr>
        <w:t>000 – 35000 рублей.</w:t>
      </w:r>
      <w:r>
        <w:rPr>
          <w:rFonts w:ascii="Times New Roman" w:hAnsi="Times New Roman" w:cs="Times New Roman"/>
          <w:sz w:val="24"/>
          <w:szCs w:val="24"/>
        </w:rPr>
        <w:t xml:space="preserve"> Начальник участка 45</w:t>
      </w:r>
      <w:r w:rsidRPr="00492CA1">
        <w:rPr>
          <w:rFonts w:ascii="Times New Roman" w:hAnsi="Times New Roman" w:cs="Times New Roman"/>
          <w:sz w:val="24"/>
          <w:szCs w:val="24"/>
        </w:rPr>
        <w:t>000рублей. Техник участка 22000 рублей.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С введением с 1 апреля 2007 года новой корпоративной системы оплаты труда текущие содержание и ремонт пути, искусственных сооружений и земляного полотна относятся по второму уровню оплаты труда.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Таблица 3 Тарифная сетка по оплате труда рабочих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92CA1" w:rsidRPr="00492CA1" w:rsidRDefault="00492CA1" w:rsidP="00492CA1">
      <w:pPr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object w:dxaOrig="10052" w:dyaOrig="976">
          <v:shape id="_x0000_i1026" type="#_x0000_t75" style="width:502.5pt;height:49pt" o:ole="">
            <v:imagedata r:id="rId6" o:title=""/>
          </v:shape>
          <o:OLEObject Type="Embed" ProgID="Excel.Sheet.8" ShapeID="_x0000_i1026" DrawAspect="Content" ObjectID="_1803108027" r:id="rId7"/>
        </w:objec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Студенты должны использовать тарифные ставки в соответствии с действующей тарифной сеткой на момент выполнения курсовой работы.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Таблица 4 Штат</w:t>
      </w:r>
      <w:r>
        <w:rPr>
          <w:rFonts w:ascii="Times New Roman" w:hAnsi="Times New Roman" w:cs="Times New Roman"/>
          <w:sz w:val="24"/>
          <w:szCs w:val="24"/>
        </w:rPr>
        <w:t xml:space="preserve">ное расписание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линейного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участк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71"/>
        <w:gridCol w:w="1417"/>
        <w:gridCol w:w="1242"/>
        <w:gridCol w:w="1088"/>
        <w:gridCol w:w="1088"/>
        <w:gridCol w:w="1059"/>
        <w:gridCol w:w="1206"/>
      </w:tblGrid>
      <w:tr w:rsidR="00492CA1" w:rsidRPr="00492CA1" w:rsidTr="00187188">
        <w:tc>
          <w:tcPr>
            <w:tcW w:w="2636" w:type="dxa"/>
            <w:vMerge w:val="restart"/>
            <w:vAlign w:val="center"/>
          </w:tcPr>
          <w:p w:rsidR="00492CA1" w:rsidRPr="00492CA1" w:rsidRDefault="00492CA1" w:rsidP="00492C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CA1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1417" w:type="dxa"/>
            <w:vMerge w:val="restart"/>
            <w:vAlign w:val="center"/>
          </w:tcPr>
          <w:p w:rsidR="00492CA1" w:rsidRPr="00492CA1" w:rsidRDefault="00492CA1" w:rsidP="00492C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CA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585" w:type="dxa"/>
            <w:gridSpan w:val="4"/>
            <w:vAlign w:val="center"/>
          </w:tcPr>
          <w:p w:rsidR="00492CA1" w:rsidRPr="00492CA1" w:rsidRDefault="00492CA1" w:rsidP="00492C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CA1">
              <w:rPr>
                <w:rFonts w:ascii="Times New Roman" w:hAnsi="Times New Roman" w:cs="Times New Roman"/>
                <w:sz w:val="24"/>
                <w:szCs w:val="24"/>
              </w:rPr>
              <w:t>Фонд заработной платы одного</w:t>
            </w:r>
          </w:p>
        </w:tc>
        <w:tc>
          <w:tcPr>
            <w:tcW w:w="1216" w:type="dxa"/>
            <w:vMerge w:val="restart"/>
            <w:vAlign w:val="center"/>
          </w:tcPr>
          <w:p w:rsidR="00492CA1" w:rsidRPr="00492CA1" w:rsidRDefault="00492CA1" w:rsidP="00492C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CA1">
              <w:rPr>
                <w:rFonts w:ascii="Times New Roman" w:hAnsi="Times New Roman" w:cs="Times New Roman"/>
                <w:sz w:val="24"/>
                <w:szCs w:val="24"/>
              </w:rPr>
              <w:t>Фонд зарплаты всего штата в месяц</w:t>
            </w:r>
          </w:p>
        </w:tc>
      </w:tr>
      <w:tr w:rsidR="00492CA1" w:rsidRPr="00492CA1" w:rsidTr="00492CA1">
        <w:trPr>
          <w:trHeight w:val="921"/>
        </w:trPr>
        <w:tc>
          <w:tcPr>
            <w:tcW w:w="2636" w:type="dxa"/>
            <w:vMerge/>
            <w:tcBorders>
              <w:bottom w:val="single" w:sz="4" w:space="0" w:color="000000"/>
            </w:tcBorders>
            <w:vAlign w:val="center"/>
          </w:tcPr>
          <w:p w:rsidR="00492CA1" w:rsidRPr="00492CA1" w:rsidRDefault="00492CA1" w:rsidP="0018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  <w:vAlign w:val="center"/>
          </w:tcPr>
          <w:p w:rsidR="00492CA1" w:rsidRPr="00492CA1" w:rsidRDefault="00492CA1" w:rsidP="0018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bottom w:val="single" w:sz="4" w:space="0" w:color="000000"/>
            </w:tcBorders>
            <w:vAlign w:val="center"/>
          </w:tcPr>
          <w:p w:rsidR="00492CA1" w:rsidRPr="00492CA1" w:rsidRDefault="00492CA1" w:rsidP="0018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CA1">
              <w:rPr>
                <w:rFonts w:ascii="Times New Roman" w:hAnsi="Times New Roman" w:cs="Times New Roman"/>
                <w:sz w:val="24"/>
                <w:szCs w:val="24"/>
              </w:rPr>
              <w:t>По тарифной сетке</w:t>
            </w:r>
          </w:p>
        </w:tc>
        <w:tc>
          <w:tcPr>
            <w:tcW w:w="1112" w:type="dxa"/>
            <w:tcBorders>
              <w:bottom w:val="single" w:sz="4" w:space="0" w:color="000000"/>
            </w:tcBorders>
            <w:vAlign w:val="center"/>
          </w:tcPr>
          <w:p w:rsidR="00492CA1" w:rsidRPr="00492CA1" w:rsidRDefault="00492CA1" w:rsidP="0018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CA1">
              <w:rPr>
                <w:rFonts w:ascii="Times New Roman" w:hAnsi="Times New Roman" w:cs="Times New Roman"/>
                <w:sz w:val="24"/>
                <w:szCs w:val="24"/>
              </w:rPr>
              <w:t>% премии</w:t>
            </w:r>
          </w:p>
        </w:tc>
        <w:tc>
          <w:tcPr>
            <w:tcW w:w="1112" w:type="dxa"/>
            <w:tcBorders>
              <w:bottom w:val="single" w:sz="4" w:space="0" w:color="000000"/>
            </w:tcBorders>
            <w:vAlign w:val="center"/>
          </w:tcPr>
          <w:p w:rsidR="00492CA1" w:rsidRPr="00492CA1" w:rsidRDefault="00492CA1" w:rsidP="0018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CA1">
              <w:rPr>
                <w:rFonts w:ascii="Times New Roman" w:hAnsi="Times New Roman" w:cs="Times New Roman"/>
                <w:sz w:val="24"/>
                <w:szCs w:val="24"/>
              </w:rPr>
              <w:t>Сумма премии</w:t>
            </w:r>
          </w:p>
        </w:tc>
        <w:tc>
          <w:tcPr>
            <w:tcW w:w="1112" w:type="dxa"/>
            <w:tcBorders>
              <w:bottom w:val="single" w:sz="4" w:space="0" w:color="000000"/>
            </w:tcBorders>
            <w:vAlign w:val="center"/>
          </w:tcPr>
          <w:p w:rsidR="00492CA1" w:rsidRPr="00492CA1" w:rsidRDefault="00492CA1" w:rsidP="0018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CA1">
              <w:rPr>
                <w:rFonts w:ascii="Times New Roman" w:hAnsi="Times New Roman" w:cs="Times New Roman"/>
                <w:sz w:val="24"/>
                <w:szCs w:val="24"/>
              </w:rPr>
              <w:t>Всего в месяц</w:t>
            </w:r>
          </w:p>
        </w:tc>
        <w:tc>
          <w:tcPr>
            <w:tcW w:w="1216" w:type="dxa"/>
            <w:vMerge/>
            <w:tcBorders>
              <w:bottom w:val="single" w:sz="4" w:space="0" w:color="000000"/>
            </w:tcBorders>
            <w:vAlign w:val="center"/>
          </w:tcPr>
          <w:p w:rsidR="00492CA1" w:rsidRPr="00492CA1" w:rsidRDefault="00492CA1" w:rsidP="00187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CA1" w:rsidRPr="00492CA1" w:rsidTr="00187188">
        <w:tc>
          <w:tcPr>
            <w:tcW w:w="2636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CA1">
              <w:rPr>
                <w:rFonts w:ascii="Times New Roman" w:hAnsi="Times New Roman" w:cs="Times New Roman"/>
                <w:sz w:val="24"/>
                <w:szCs w:val="24"/>
              </w:rPr>
              <w:t>Начальник участка</w:t>
            </w:r>
          </w:p>
        </w:tc>
        <w:tc>
          <w:tcPr>
            <w:tcW w:w="1417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CA1" w:rsidRPr="00492CA1" w:rsidTr="00187188">
        <w:tc>
          <w:tcPr>
            <w:tcW w:w="2636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CA1">
              <w:rPr>
                <w:rFonts w:ascii="Times New Roman" w:hAnsi="Times New Roman" w:cs="Times New Roman"/>
                <w:sz w:val="24"/>
                <w:szCs w:val="24"/>
              </w:rPr>
              <w:t>Дорожный мастер</w:t>
            </w:r>
          </w:p>
        </w:tc>
        <w:tc>
          <w:tcPr>
            <w:tcW w:w="1417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CA1" w:rsidRPr="00492CA1" w:rsidTr="00187188">
        <w:tc>
          <w:tcPr>
            <w:tcW w:w="2636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CA1">
              <w:rPr>
                <w:rFonts w:ascii="Times New Roman" w:hAnsi="Times New Roman" w:cs="Times New Roman"/>
                <w:sz w:val="24"/>
                <w:szCs w:val="24"/>
              </w:rPr>
              <w:t xml:space="preserve">Техник </w:t>
            </w:r>
          </w:p>
        </w:tc>
        <w:tc>
          <w:tcPr>
            <w:tcW w:w="1417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CA1" w:rsidRPr="00492CA1" w:rsidTr="00187188">
        <w:tc>
          <w:tcPr>
            <w:tcW w:w="2636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CA1">
              <w:rPr>
                <w:rFonts w:ascii="Times New Roman" w:hAnsi="Times New Roman" w:cs="Times New Roman"/>
                <w:sz w:val="24"/>
                <w:szCs w:val="24"/>
              </w:rPr>
              <w:t>Бригадир</w:t>
            </w:r>
          </w:p>
        </w:tc>
        <w:tc>
          <w:tcPr>
            <w:tcW w:w="1417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CA1" w:rsidRPr="00492CA1" w:rsidTr="00187188">
        <w:tc>
          <w:tcPr>
            <w:tcW w:w="2636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CA1">
              <w:rPr>
                <w:rFonts w:ascii="Times New Roman" w:hAnsi="Times New Roman" w:cs="Times New Roman"/>
                <w:sz w:val="24"/>
                <w:szCs w:val="24"/>
              </w:rPr>
              <w:t>Монтер пути</w:t>
            </w:r>
          </w:p>
        </w:tc>
        <w:tc>
          <w:tcPr>
            <w:tcW w:w="1417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CA1" w:rsidRPr="00492CA1" w:rsidTr="00187188">
        <w:tc>
          <w:tcPr>
            <w:tcW w:w="2636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CA1">
              <w:rPr>
                <w:rFonts w:ascii="Times New Roman" w:hAnsi="Times New Roman" w:cs="Times New Roman"/>
                <w:sz w:val="24"/>
                <w:szCs w:val="24"/>
              </w:rPr>
              <w:t>Дежурный по переезду</w:t>
            </w:r>
          </w:p>
        </w:tc>
        <w:tc>
          <w:tcPr>
            <w:tcW w:w="1417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CA1" w:rsidRPr="00492CA1" w:rsidTr="00187188">
        <w:tc>
          <w:tcPr>
            <w:tcW w:w="2636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CA1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492CA1" w:rsidRPr="00492CA1" w:rsidRDefault="00492CA1" w:rsidP="00492C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2CA1" w:rsidRPr="00492CA1" w:rsidRDefault="00492CA1" w:rsidP="00492CA1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CA1">
        <w:rPr>
          <w:rFonts w:ascii="Times New Roman" w:hAnsi="Times New Roman" w:cs="Times New Roman"/>
          <w:b/>
          <w:sz w:val="24"/>
          <w:szCs w:val="24"/>
        </w:rPr>
        <w:lastRenderedPageBreak/>
        <w:t>3.3 Определение бригады по разрядам.</w:t>
      </w:r>
    </w:p>
    <w:p w:rsidR="00492CA1" w:rsidRPr="00492CA1" w:rsidRDefault="00492CA1" w:rsidP="00492C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Состав бригады по разрядам определяется подбором с таким расчетом, чтобы средний разряд в бригаде равнялся Р</w:t>
      </w:r>
      <w:r w:rsidRPr="00492CA1">
        <w:rPr>
          <w:rFonts w:ascii="Times New Roman" w:hAnsi="Times New Roman" w:cs="Times New Roman"/>
          <w:sz w:val="24"/>
          <w:szCs w:val="24"/>
          <w:vertAlign w:val="subscript"/>
        </w:rPr>
        <w:t>ср</w:t>
      </w:r>
      <w:r w:rsidRPr="00492CA1">
        <w:rPr>
          <w:rFonts w:ascii="Times New Roman" w:hAnsi="Times New Roman" w:cs="Times New Roman"/>
          <w:sz w:val="24"/>
          <w:szCs w:val="24"/>
        </w:rPr>
        <w:t>=3,5.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 xml:space="preserve">Средний тарифный коэффициент определяется по формуле: </w:t>
      </w:r>
    </w:p>
    <w:p w:rsidR="00492CA1" w:rsidRPr="00492CA1" w:rsidRDefault="00492CA1" w:rsidP="00492CA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75" style="position:absolute;left:0;text-align:left;margin-left:153pt;margin-top:5.25pt;width:209.25pt;height:46.5pt;z-index:251660288">
            <v:imagedata r:id="rId8" o:title=""/>
            <w10:wrap type="square" side="left"/>
          </v:shape>
          <o:OLEObject Type="Embed" ProgID="Equation.3" ShapeID="_x0000_s1026" DrawAspect="Content" ObjectID="_1803108029" r:id="rId9"/>
        </w:pict>
      </w:r>
      <w:r w:rsidRPr="00492CA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где К</w:t>
      </w:r>
      <w:proofErr w:type="gramStart"/>
      <w:r w:rsidRPr="00492C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492CA1">
        <w:rPr>
          <w:rFonts w:ascii="Times New Roman" w:hAnsi="Times New Roman" w:cs="Times New Roman"/>
          <w:sz w:val="24"/>
          <w:szCs w:val="24"/>
        </w:rPr>
        <w:t>, К</w:t>
      </w:r>
      <w:r w:rsidRPr="00492CA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92CA1">
        <w:rPr>
          <w:rFonts w:ascii="Times New Roman" w:hAnsi="Times New Roman" w:cs="Times New Roman"/>
          <w:sz w:val="24"/>
          <w:szCs w:val="24"/>
        </w:rPr>
        <w:t>,К</w:t>
      </w:r>
      <w:r w:rsidRPr="00492C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92CA1">
        <w:rPr>
          <w:rFonts w:ascii="Times New Roman" w:hAnsi="Times New Roman" w:cs="Times New Roman"/>
          <w:sz w:val="24"/>
          <w:szCs w:val="24"/>
        </w:rPr>
        <w:t xml:space="preserve"> – тарифные коэффициенты соответствующих разрядов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 xml:space="preserve">       </w:t>
      </w:r>
      <w:r w:rsidRPr="00492CA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92C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92CA1">
        <w:rPr>
          <w:rFonts w:ascii="Times New Roman" w:hAnsi="Times New Roman" w:cs="Times New Roman"/>
          <w:sz w:val="24"/>
          <w:szCs w:val="24"/>
        </w:rPr>
        <w:t xml:space="preserve">, </w:t>
      </w:r>
      <w:r w:rsidRPr="00492CA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92CA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92CA1">
        <w:rPr>
          <w:rFonts w:ascii="Times New Roman" w:hAnsi="Times New Roman" w:cs="Times New Roman"/>
          <w:sz w:val="24"/>
          <w:szCs w:val="24"/>
        </w:rPr>
        <w:t xml:space="preserve">, </w:t>
      </w:r>
      <w:r w:rsidRPr="00492CA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92C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92CA1">
        <w:rPr>
          <w:rFonts w:ascii="Times New Roman" w:hAnsi="Times New Roman" w:cs="Times New Roman"/>
          <w:sz w:val="24"/>
          <w:szCs w:val="24"/>
        </w:rPr>
        <w:t>, - количество монтеров пути соответствующих разрядов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 xml:space="preserve">       Σ</w:t>
      </w:r>
      <w:r w:rsidRPr="00492CA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92CA1">
        <w:rPr>
          <w:rFonts w:ascii="Times New Roman" w:hAnsi="Times New Roman" w:cs="Times New Roman"/>
          <w:sz w:val="24"/>
          <w:szCs w:val="24"/>
        </w:rPr>
        <w:t xml:space="preserve"> – общее количество монтеров пути в бригаде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Средний разряд монтеров пути рассчитывается по формуле:</w:t>
      </w:r>
    </w:p>
    <w:p w:rsidR="00492CA1" w:rsidRPr="00492CA1" w:rsidRDefault="00492CA1" w:rsidP="00492CA1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position w:val="-30"/>
          <w:sz w:val="24"/>
          <w:szCs w:val="24"/>
        </w:rPr>
        <w:object w:dxaOrig="2020" w:dyaOrig="700">
          <v:shape id="_x0000_i1027" type="#_x0000_t75" style="width:142pt;height:49.5pt" o:ole="">
            <v:imagedata r:id="rId10" o:title=""/>
          </v:shape>
          <o:OLEObject Type="Embed" ProgID="Equation.3" ShapeID="_x0000_i1027" DrawAspect="Content" ObjectID="_1803108028" r:id="rId11"/>
        </w:objec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492CA1">
        <w:rPr>
          <w:rFonts w:ascii="Times New Roman" w:hAnsi="Times New Roman" w:cs="Times New Roman"/>
          <w:sz w:val="24"/>
          <w:szCs w:val="24"/>
        </w:rPr>
        <w:t>Р</w:t>
      </w:r>
      <w:r w:rsidRPr="00492CA1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proofErr w:type="spellEnd"/>
      <w:r w:rsidRPr="00492CA1">
        <w:rPr>
          <w:rFonts w:ascii="Times New Roman" w:hAnsi="Times New Roman" w:cs="Times New Roman"/>
          <w:sz w:val="24"/>
          <w:szCs w:val="24"/>
        </w:rPr>
        <w:t xml:space="preserve"> – ближайший к среднему меньший разряд по тарифной сетке;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492CA1">
        <w:rPr>
          <w:rFonts w:ascii="Times New Roman" w:hAnsi="Times New Roman" w:cs="Times New Roman"/>
          <w:sz w:val="24"/>
          <w:szCs w:val="24"/>
        </w:rPr>
        <w:t>К</w:t>
      </w:r>
      <w:r w:rsidRPr="00492CA1">
        <w:rPr>
          <w:rFonts w:ascii="Times New Roman" w:hAnsi="Times New Roman" w:cs="Times New Roman"/>
          <w:sz w:val="24"/>
          <w:szCs w:val="24"/>
          <w:vertAlign w:val="subscript"/>
        </w:rPr>
        <w:t>ср</w:t>
      </w:r>
      <w:proofErr w:type="spellEnd"/>
      <w:r w:rsidRPr="00492CA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92CA1">
        <w:rPr>
          <w:rFonts w:ascii="Times New Roman" w:hAnsi="Times New Roman" w:cs="Times New Roman"/>
          <w:sz w:val="24"/>
          <w:szCs w:val="24"/>
        </w:rPr>
        <w:t>– средний тарифный коэффициент;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 xml:space="preserve">      К</w:t>
      </w:r>
      <w:r w:rsidRPr="00492CA1">
        <w:rPr>
          <w:rFonts w:ascii="Times New Roman" w:hAnsi="Times New Roman" w:cs="Times New Roman"/>
          <w:sz w:val="24"/>
          <w:szCs w:val="24"/>
          <w:vertAlign w:val="subscript"/>
        </w:rPr>
        <w:t>б</w:t>
      </w:r>
      <w:r w:rsidRPr="00492CA1">
        <w:rPr>
          <w:rFonts w:ascii="Times New Roman" w:hAnsi="Times New Roman" w:cs="Times New Roman"/>
          <w:sz w:val="24"/>
          <w:szCs w:val="24"/>
        </w:rPr>
        <w:t>, К</w:t>
      </w:r>
      <w:r w:rsidRPr="00492CA1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r w:rsidRPr="00492CA1">
        <w:rPr>
          <w:rFonts w:ascii="Times New Roman" w:hAnsi="Times New Roman" w:cs="Times New Roman"/>
          <w:sz w:val="24"/>
          <w:szCs w:val="24"/>
        </w:rPr>
        <w:t xml:space="preserve"> – тарифные коэффициенты ближнего к среднему разряду большего и меньшего разрядов.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CA1">
        <w:rPr>
          <w:rFonts w:ascii="Times New Roman" w:hAnsi="Times New Roman" w:cs="Times New Roman"/>
          <w:sz w:val="24"/>
          <w:szCs w:val="24"/>
        </w:rPr>
        <w:t xml:space="preserve">Если разница между заданным и расчетным значениями </w:t>
      </w:r>
      <w:proofErr w:type="spellStart"/>
      <w:r w:rsidRPr="00492CA1">
        <w:rPr>
          <w:rFonts w:ascii="Times New Roman" w:hAnsi="Times New Roman" w:cs="Times New Roman"/>
          <w:sz w:val="24"/>
          <w:szCs w:val="24"/>
        </w:rPr>
        <w:t>Р</w:t>
      </w:r>
      <w:r w:rsidRPr="00492CA1">
        <w:rPr>
          <w:rFonts w:ascii="Times New Roman" w:hAnsi="Times New Roman" w:cs="Times New Roman"/>
          <w:sz w:val="24"/>
          <w:szCs w:val="24"/>
          <w:vertAlign w:val="subscript"/>
        </w:rPr>
        <w:t>ср</w:t>
      </w:r>
      <w:proofErr w:type="spellEnd"/>
      <w:r w:rsidRPr="00492CA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92CA1">
        <w:rPr>
          <w:rFonts w:ascii="Times New Roman" w:hAnsi="Times New Roman" w:cs="Times New Roman"/>
          <w:sz w:val="24"/>
          <w:szCs w:val="24"/>
        </w:rPr>
        <w:t xml:space="preserve">большая, то следует изменить состав бригады по разрядам и повторить проверочные расчеты </w:t>
      </w:r>
      <w:proofErr w:type="spellStart"/>
      <w:r w:rsidRPr="00492CA1">
        <w:rPr>
          <w:rFonts w:ascii="Times New Roman" w:hAnsi="Times New Roman" w:cs="Times New Roman"/>
          <w:sz w:val="24"/>
          <w:szCs w:val="24"/>
        </w:rPr>
        <w:t>К</w:t>
      </w:r>
      <w:r w:rsidRPr="00492CA1">
        <w:rPr>
          <w:rFonts w:ascii="Times New Roman" w:hAnsi="Times New Roman" w:cs="Times New Roman"/>
          <w:sz w:val="24"/>
          <w:szCs w:val="24"/>
          <w:vertAlign w:val="subscript"/>
        </w:rPr>
        <w:t>ср</w:t>
      </w:r>
      <w:proofErr w:type="spellEnd"/>
      <w:r w:rsidRPr="00492CA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92CA1">
        <w:rPr>
          <w:rFonts w:ascii="Times New Roman" w:hAnsi="Times New Roman" w:cs="Times New Roman"/>
          <w:sz w:val="24"/>
          <w:szCs w:val="24"/>
        </w:rPr>
        <w:t>Р</w:t>
      </w:r>
      <w:r w:rsidRPr="00492CA1">
        <w:rPr>
          <w:rFonts w:ascii="Times New Roman" w:hAnsi="Times New Roman" w:cs="Times New Roman"/>
          <w:sz w:val="24"/>
          <w:szCs w:val="24"/>
          <w:vertAlign w:val="subscript"/>
        </w:rPr>
        <w:t>ср</w:t>
      </w:r>
      <w:proofErr w:type="spellEnd"/>
      <w:r w:rsidRPr="00492CA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92CA1">
        <w:rPr>
          <w:rFonts w:ascii="Times New Roman" w:hAnsi="Times New Roman" w:cs="Times New Roman"/>
          <w:sz w:val="24"/>
          <w:szCs w:val="24"/>
        </w:rPr>
        <w:t xml:space="preserve"> Расчеты выполняются до тех пор, пока не получится требуемый результат.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CA1">
        <w:rPr>
          <w:rFonts w:ascii="Times New Roman" w:hAnsi="Times New Roman" w:cs="Times New Roman"/>
          <w:b/>
          <w:sz w:val="24"/>
          <w:szCs w:val="24"/>
        </w:rPr>
        <w:t>3.4 Расчет фонда заработной платы подрядной бригады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Распределение заработной платы работников бригады производится в форме ПУ – 74 в разделе 1.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Расчет заработной платы при повременной оплате труда производится путем умножения часовой тарифной ставки на отработанное число часов каждого работника.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Расчетная заработная плата определяется по формуле:</w:t>
      </w:r>
    </w:p>
    <w:p w:rsidR="00492CA1" w:rsidRPr="00492CA1" w:rsidRDefault="00492CA1" w:rsidP="00492CA1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92CA1">
        <w:rPr>
          <w:rFonts w:ascii="Times New Roman" w:hAnsi="Times New Roman" w:cs="Times New Roman"/>
          <w:sz w:val="24"/>
          <w:szCs w:val="24"/>
        </w:rPr>
        <w:t>ЗП</w:t>
      </w:r>
      <w:r w:rsidRPr="00492CA1">
        <w:rPr>
          <w:rFonts w:ascii="Times New Roman" w:hAnsi="Times New Roman" w:cs="Times New Roman"/>
          <w:sz w:val="24"/>
          <w:szCs w:val="24"/>
          <w:vertAlign w:val="subscript"/>
        </w:rPr>
        <w:t>рас</w:t>
      </w:r>
      <w:r w:rsidRPr="00492CA1">
        <w:rPr>
          <w:rFonts w:ascii="Times New Roman" w:hAnsi="Times New Roman" w:cs="Times New Roman"/>
          <w:sz w:val="24"/>
          <w:szCs w:val="24"/>
          <w:vertAlign w:val="superscript"/>
        </w:rPr>
        <w:t>м</w:t>
      </w:r>
      <w:proofErr w:type="spellEnd"/>
      <w:r w:rsidRPr="00492CA1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proofErr w:type="spellStart"/>
      <w:proofErr w:type="gramStart"/>
      <w:r w:rsidRPr="00492CA1">
        <w:rPr>
          <w:rFonts w:ascii="Times New Roman" w:hAnsi="Times New Roman" w:cs="Times New Roman"/>
          <w:sz w:val="24"/>
          <w:szCs w:val="24"/>
          <w:vertAlign w:val="superscript"/>
        </w:rPr>
        <w:t>п</w:t>
      </w:r>
      <w:proofErr w:type="spellEnd"/>
      <w:proofErr w:type="gramEnd"/>
      <w:r w:rsidRPr="00492CA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92CA1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492CA1">
        <w:rPr>
          <w:rFonts w:ascii="Times New Roman" w:hAnsi="Times New Roman" w:cs="Times New Roman"/>
          <w:sz w:val="24"/>
          <w:szCs w:val="24"/>
        </w:rPr>
        <w:t>Р</w:t>
      </w:r>
      <w:r w:rsidRPr="00492CA1">
        <w:rPr>
          <w:rFonts w:ascii="Times New Roman" w:hAnsi="Times New Roman" w:cs="Times New Roman"/>
          <w:sz w:val="24"/>
          <w:szCs w:val="24"/>
          <w:vertAlign w:val="subscript"/>
        </w:rPr>
        <w:t>рас</w:t>
      </w:r>
      <w:r w:rsidRPr="00492CA1">
        <w:rPr>
          <w:rFonts w:ascii="Times New Roman" w:hAnsi="Times New Roman" w:cs="Times New Roman"/>
          <w:sz w:val="24"/>
          <w:szCs w:val="24"/>
        </w:rPr>
        <w:t>×Н×Т</w:t>
      </w:r>
      <w:proofErr w:type="spellEnd"/>
      <w:r w:rsidRPr="00492CA1">
        <w:rPr>
          <w:rFonts w:ascii="Times New Roman" w:hAnsi="Times New Roman" w:cs="Times New Roman"/>
          <w:sz w:val="24"/>
          <w:szCs w:val="24"/>
        </w:rPr>
        <w:t>,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lastRenderedPageBreak/>
        <w:t xml:space="preserve">где  </w:t>
      </w:r>
      <w:proofErr w:type="spellStart"/>
      <w:r w:rsidRPr="00492CA1">
        <w:rPr>
          <w:rFonts w:ascii="Times New Roman" w:hAnsi="Times New Roman" w:cs="Times New Roman"/>
          <w:sz w:val="24"/>
          <w:szCs w:val="24"/>
        </w:rPr>
        <w:t>Р</w:t>
      </w:r>
      <w:r w:rsidRPr="00492CA1">
        <w:rPr>
          <w:rFonts w:ascii="Times New Roman" w:hAnsi="Times New Roman" w:cs="Times New Roman"/>
          <w:sz w:val="24"/>
          <w:szCs w:val="24"/>
          <w:vertAlign w:val="subscript"/>
        </w:rPr>
        <w:t>рас</w:t>
      </w:r>
      <w:proofErr w:type="spellEnd"/>
      <w:r w:rsidRPr="00492CA1">
        <w:rPr>
          <w:rFonts w:ascii="Times New Roman" w:hAnsi="Times New Roman" w:cs="Times New Roman"/>
          <w:sz w:val="24"/>
          <w:szCs w:val="24"/>
        </w:rPr>
        <w:t xml:space="preserve"> – расчетный контингент мастеров пути</w:t>
      </w:r>
    </w:p>
    <w:p w:rsidR="00492CA1" w:rsidRPr="00492CA1" w:rsidRDefault="00492CA1" w:rsidP="00492CA1">
      <w:pPr>
        <w:ind w:left="69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Н – среднемесячное число рабочих часов (примем 163,67)</w:t>
      </w:r>
    </w:p>
    <w:p w:rsidR="00492CA1" w:rsidRPr="00492CA1" w:rsidRDefault="00492CA1" w:rsidP="00492CA1">
      <w:pPr>
        <w:ind w:left="696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Т – часовая тарифная ставка 3,5 разряда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где  Σ Ч</w:t>
      </w:r>
      <w:r w:rsidRPr="00492CA1">
        <w:rPr>
          <w:rFonts w:ascii="Times New Roman" w:hAnsi="Times New Roman" w:cs="Times New Roman"/>
          <w:sz w:val="24"/>
          <w:szCs w:val="24"/>
          <w:vertAlign w:val="subscript"/>
        </w:rPr>
        <w:t>КТУ</w:t>
      </w:r>
      <w:r w:rsidRPr="00492CA1">
        <w:rPr>
          <w:rFonts w:ascii="Times New Roman" w:hAnsi="Times New Roman" w:cs="Times New Roman"/>
          <w:sz w:val="24"/>
          <w:szCs w:val="24"/>
        </w:rPr>
        <w:t xml:space="preserve"> – сумма часов по КТУ.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Коэффициент трудового участия начисляется от 0,5 до 1,5, но с тем условием, что средний КТУ по бригаде должен быть не более 1.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Для определения премии рассчитываем расчетную величину, как произвед</w:t>
      </w:r>
      <w:r w:rsidRPr="00492CA1">
        <w:rPr>
          <w:rFonts w:ascii="Times New Roman" w:hAnsi="Times New Roman" w:cs="Times New Roman"/>
          <w:sz w:val="24"/>
          <w:szCs w:val="24"/>
        </w:rPr>
        <w:t>е</w:t>
      </w:r>
      <w:r w:rsidRPr="00492CA1">
        <w:rPr>
          <w:rFonts w:ascii="Times New Roman" w:hAnsi="Times New Roman" w:cs="Times New Roman"/>
          <w:sz w:val="24"/>
          <w:szCs w:val="24"/>
        </w:rPr>
        <w:t>ние зарплаты за отработанные часы на  КТУ, а затем полученную величину умн</w:t>
      </w:r>
      <w:r w:rsidRPr="00492CA1">
        <w:rPr>
          <w:rFonts w:ascii="Times New Roman" w:hAnsi="Times New Roman" w:cs="Times New Roman"/>
          <w:sz w:val="24"/>
          <w:szCs w:val="24"/>
        </w:rPr>
        <w:t>о</w:t>
      </w:r>
      <w:r w:rsidRPr="00492CA1">
        <w:rPr>
          <w:rFonts w:ascii="Times New Roman" w:hAnsi="Times New Roman" w:cs="Times New Roman"/>
          <w:sz w:val="24"/>
          <w:szCs w:val="24"/>
        </w:rPr>
        <w:t xml:space="preserve">жаем на процент премии </w:t>
      </w:r>
    </w:p>
    <w:p w:rsidR="00492CA1" w:rsidRPr="00492CA1" w:rsidRDefault="00492CA1" w:rsidP="00492C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2CA1">
        <w:rPr>
          <w:rFonts w:ascii="Times New Roman" w:hAnsi="Times New Roman" w:cs="Times New Roman"/>
          <w:sz w:val="24"/>
          <w:szCs w:val="24"/>
        </w:rPr>
        <w:t>Вредность рассчитываем, как 8% от зарплаты за отработанные часы.</w:t>
      </w:r>
    </w:p>
    <w:p w:rsidR="00D53C49" w:rsidRPr="00492CA1" w:rsidRDefault="00D53C49" w:rsidP="00492CA1">
      <w:pPr>
        <w:rPr>
          <w:rFonts w:ascii="Times New Roman" w:hAnsi="Times New Roman" w:cs="Times New Roman"/>
        </w:rPr>
      </w:pPr>
    </w:p>
    <w:sectPr w:rsidR="00D53C49" w:rsidRPr="00492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2CA1"/>
    <w:rsid w:val="00492CA1"/>
    <w:rsid w:val="00D53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_____Microsoft_Office_Excel_97-20032.xls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2.bin"/><Relationship Id="rId5" Type="http://schemas.openxmlformats.org/officeDocument/2006/relationships/oleObject" Target="embeddings/_____Microsoft_Office_Excel_97-20031.xls"/><Relationship Id="rId10" Type="http://schemas.openxmlformats.org/officeDocument/2006/relationships/image" Target="media/image4.wmf"/><Relationship Id="rId4" Type="http://schemas.openxmlformats.org/officeDocument/2006/relationships/image" Target="media/image1.emf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811</Words>
  <Characters>4626</Characters>
  <Application>Microsoft Office Word</Application>
  <DocSecurity>0</DocSecurity>
  <Lines>38</Lines>
  <Paragraphs>10</Paragraphs>
  <ScaleCrop>false</ScaleCrop>
  <Company/>
  <LinksUpToDate>false</LinksUpToDate>
  <CharactersWithSpaces>5427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2025-03-10T06:31:00Z</dcterms:created>
  <dcterms:modified xsi:type="dcterms:W3CDTF">2025-03-10T06:34:00Z</dcterms:modified>
</cp:coreProperties>
</file>