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14" w:rsidRPr="001C6714" w:rsidRDefault="001C6714" w:rsidP="00B621D9">
      <w:pPr>
        <w:spacing w:before="120" w:after="120"/>
        <w:rPr>
          <w:sz w:val="28"/>
          <w:szCs w:val="28"/>
          <w:u w:val="single"/>
        </w:rPr>
      </w:pPr>
      <w:r w:rsidRPr="001C6714">
        <w:rPr>
          <w:sz w:val="28"/>
          <w:szCs w:val="28"/>
          <w:u w:val="single"/>
        </w:rPr>
        <w:t>КОНСПЕКТ</w:t>
      </w:r>
    </w:p>
    <w:p w:rsidR="00E53754" w:rsidRDefault="00C64E66" w:rsidP="00B621D9">
      <w:pPr>
        <w:spacing w:before="120" w:after="120"/>
        <w:rPr>
          <w:b/>
          <w:sz w:val="28"/>
          <w:szCs w:val="28"/>
        </w:rPr>
      </w:pPr>
      <w:r w:rsidRPr="00C64E66">
        <w:rPr>
          <w:b/>
          <w:sz w:val="28"/>
          <w:szCs w:val="28"/>
        </w:rPr>
        <w:t>Порядок производства манёвров. Манёвры с выходом за границу станции</w:t>
      </w:r>
    </w:p>
    <w:p w:rsidR="00C64E66" w:rsidRDefault="00C64E66" w:rsidP="00B621D9">
      <w:pPr>
        <w:spacing w:before="120" w:after="120"/>
        <w:rPr>
          <w:sz w:val="28"/>
          <w:szCs w:val="28"/>
        </w:rPr>
      </w:pPr>
      <w:r w:rsidRPr="00C64E66">
        <w:rPr>
          <w:sz w:val="28"/>
          <w:szCs w:val="28"/>
        </w:rPr>
        <w:t xml:space="preserve">ПТЭ </w:t>
      </w:r>
      <w:r>
        <w:rPr>
          <w:sz w:val="28"/>
          <w:szCs w:val="28"/>
        </w:rPr>
        <w:t>П</w:t>
      </w:r>
      <w:r w:rsidRPr="00C64E66">
        <w:rPr>
          <w:sz w:val="28"/>
          <w:szCs w:val="28"/>
        </w:rPr>
        <w:t>риложение №6, пункты 27,28,29-30, 35-36</w:t>
      </w:r>
      <w:r>
        <w:rPr>
          <w:sz w:val="28"/>
          <w:szCs w:val="28"/>
        </w:rPr>
        <w:t>; ИДП Приложение№</w:t>
      </w:r>
      <w:r w:rsidRPr="00C64E66">
        <w:rPr>
          <w:sz w:val="28"/>
          <w:szCs w:val="28"/>
        </w:rPr>
        <w:t xml:space="preserve">11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 w:rsidRPr="00C64E6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 w:rsidRPr="00C64E66">
        <w:rPr>
          <w:sz w:val="28"/>
          <w:szCs w:val="28"/>
        </w:rPr>
        <w:t xml:space="preserve"> (</w:t>
      </w:r>
      <w:r>
        <w:rPr>
          <w:sz w:val="28"/>
          <w:szCs w:val="28"/>
        </w:rPr>
        <w:t>кроме</w:t>
      </w:r>
      <w:r w:rsidRPr="00C64E6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Pr="00C64E6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A527F" w:rsidRPr="00BA527F" w:rsidRDefault="00BA527F" w:rsidP="004E76F9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BA527F">
        <w:rPr>
          <w:b/>
          <w:sz w:val="28"/>
          <w:szCs w:val="28"/>
        </w:rPr>
        <w:t>****</w:t>
      </w:r>
      <w:r w:rsidRPr="00BA527F">
        <w:rPr>
          <w:sz w:val="28"/>
          <w:szCs w:val="28"/>
        </w:rPr>
        <w:t xml:space="preserve"> При движении маневрового состава локомотивом вперед или одиночного маневрового локомотива </w:t>
      </w:r>
      <w:r w:rsidRPr="00BA527F">
        <w:rPr>
          <w:b/>
          <w:sz w:val="28"/>
          <w:szCs w:val="28"/>
        </w:rPr>
        <w:t>составителю поездов разрешается находиться на площадке или в кабине маневрового</w:t>
      </w:r>
      <w:r w:rsidRPr="00BA527F">
        <w:rPr>
          <w:sz w:val="28"/>
          <w:szCs w:val="28"/>
        </w:rPr>
        <w:t xml:space="preserve"> </w:t>
      </w:r>
      <w:r w:rsidRPr="00BA527F">
        <w:rPr>
          <w:b/>
          <w:sz w:val="28"/>
          <w:szCs w:val="28"/>
        </w:rPr>
        <w:t>локомотива,</w:t>
      </w:r>
      <w:r w:rsidRPr="00BA527F">
        <w:rPr>
          <w:sz w:val="28"/>
          <w:szCs w:val="28"/>
        </w:rPr>
        <w:t xml:space="preserve"> а в случаях управления маневровым локомотивом в одно лицо (без помощника машиниста локомотива) на месте помощника машиниста маневрового локомотива, и следить за правильностью положения стрелок по маршруту следования и отсутствием препятствий для передвижения. ((ИНСТРУКЦИЯ ПО ОХРАНЕ ТРУДА ДЛЯ СОСТАВИТЕЛЯ ПОЕЗДОВ ЖЕЛЕЗНОДОРОЖНОЙ СТАНЦИИ ОТКРЫТОГО АКЦИОНЕРНОГО ОБЩЕСТВА "РОССИЙСКИЕ ЖЕЛЕЗНЫЕ ДОРОГИ" (утв. ОАО "РЖД" 22.02.2007 N ВП-1880))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2"/>
      </w:tblGrid>
      <w:tr w:rsidR="001C6714" w:rsidRPr="00430EA0" w:rsidTr="001C6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14" w:rsidRPr="001C6714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 xml:space="preserve">35. </w:t>
            </w:r>
            <w:r w:rsidRPr="001C6714">
              <w:rPr>
                <w:rFonts w:cs="Times New Roman"/>
                <w:b/>
                <w:sz w:val="28"/>
                <w:szCs w:val="28"/>
                <w:u w:val="single"/>
              </w:rPr>
              <w:t>Локомотивная бригада,</w:t>
            </w:r>
            <w:r w:rsidRPr="006B666A">
              <w:rPr>
                <w:rFonts w:cs="Times New Roman"/>
                <w:b/>
                <w:sz w:val="28"/>
                <w:szCs w:val="28"/>
              </w:rPr>
              <w:t xml:space="preserve"> обслуживающая локомотив, МВПС, ССПС, при производстве маневров </w:t>
            </w:r>
            <w:r w:rsidRPr="001C6714">
              <w:rPr>
                <w:rFonts w:cs="Times New Roman"/>
                <w:b/>
                <w:sz w:val="28"/>
                <w:szCs w:val="28"/>
                <w:u w:val="single"/>
              </w:rPr>
              <w:t>обязана: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точно и своевременно выполнять задания на маневровую работу;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внимательно следить за подаваемыми сигналами, точно и своевременно выполнять сигналы и указания о передвижениях;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внимательно следить за людьми, находящимися на  путях, положением стрелок и расположением  подвижного состава;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обеспечивать безопасность производства маневров и сохранность  подвижного состава</w:t>
            </w:r>
            <w:r w:rsidRPr="006B666A">
              <w:rPr>
                <w:rFonts w:cs="Times New Roman"/>
                <w:sz w:val="28"/>
                <w:szCs w:val="28"/>
              </w:rPr>
              <w:t>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36.</w:t>
            </w:r>
            <w:r w:rsidRPr="006B666A">
              <w:rPr>
                <w:rFonts w:cs="Times New Roman"/>
                <w:sz w:val="28"/>
                <w:szCs w:val="28"/>
              </w:rPr>
              <w:t xml:space="preserve"> </w:t>
            </w:r>
            <w:r w:rsidRPr="006B666A">
              <w:rPr>
                <w:rFonts w:cs="Times New Roman"/>
                <w:b/>
                <w:sz w:val="28"/>
                <w:szCs w:val="28"/>
              </w:rPr>
              <w:t>Локомотивные бригады</w:t>
            </w:r>
            <w:r w:rsidRPr="006B666A">
              <w:rPr>
                <w:rFonts w:cs="Times New Roman"/>
                <w:sz w:val="28"/>
                <w:szCs w:val="28"/>
              </w:rPr>
              <w:t xml:space="preserve">, работающие со сборными поездами, а также выделенные для производства маневровой работы, кондукторы поездов грузовых и составительские </w:t>
            </w:r>
            <w:r w:rsidRPr="006B666A">
              <w:rPr>
                <w:rFonts w:cs="Times New Roman"/>
                <w:b/>
                <w:sz w:val="28"/>
                <w:szCs w:val="28"/>
              </w:rPr>
              <w:t>бригады должны знать порядок маневровой работы на станции, указанный в техническо-распорядительном акте, инструкции по обслуживанию и организации движения на  пути необщего пользования</w:t>
            </w:r>
            <w:r w:rsidRPr="006B666A">
              <w:rPr>
                <w:rFonts w:cs="Times New Roman"/>
                <w:sz w:val="28"/>
                <w:szCs w:val="28"/>
              </w:rPr>
              <w:t>. Порядок ознакомления локомотивных, составительских бригад и кондукторов с условиями маневровой работы, указанными в техническо-распорядительном акте  станций, инструкции по обслуживанию и организации движения на  пути необщего пользования, устанавливается, соответственно, владельцем инфраструктуры, владельцем  путей необщего пользования.</w:t>
            </w:r>
          </w:p>
        </w:tc>
      </w:tr>
      <w:tr w:rsidR="001C6714" w:rsidRPr="00430EA0" w:rsidTr="001C6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14" w:rsidRPr="001C6714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27.</w:t>
            </w:r>
            <w:r w:rsidRPr="006B666A">
              <w:rPr>
                <w:rFonts w:cs="Times New Roman"/>
                <w:sz w:val="28"/>
                <w:szCs w:val="28"/>
              </w:rPr>
              <w:t xml:space="preserve"> </w:t>
            </w:r>
            <w:r w:rsidRPr="001C6714">
              <w:rPr>
                <w:rFonts w:cs="Times New Roman"/>
                <w:b/>
                <w:sz w:val="28"/>
                <w:szCs w:val="28"/>
                <w:u w:val="single"/>
              </w:rPr>
              <w:t>Маневры производятся со скоростью не более: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60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следовании по свободным путям одиночных локомотивов и локомотивов с вагонами, прицепленными сзади с включенными и опробованными автотормозами;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40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движении локомотива с вагонами, прицепленными сзади, а также при следовании одиночного ССПС по свободным путям;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5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25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движении вагонами вперед по свободным путям, а также восстановительных и пожарных поездов;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5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15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движении с вагонами, занятыми людьми, с проводниками и командами, сопровождающими грузы, а также с негабаритными грузами </w:t>
            </w:r>
            <w:r w:rsidRPr="006B666A">
              <w:rPr>
                <w:rFonts w:cs="Times New Roman"/>
                <w:b/>
                <w:sz w:val="28"/>
                <w:szCs w:val="28"/>
              </w:rPr>
              <w:lastRenderedPageBreak/>
              <w:t>боковой и нижней негабаритности 4-й, 5-й и 6-й степеней;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5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маневрах толчками, при подходе отцепа вагонов к другому отцепу в подгорочном парке;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 км/ч"/>
              </w:smartTagPr>
              <w:r w:rsidRPr="006B666A">
                <w:rPr>
                  <w:rFonts w:cs="Times New Roman"/>
                  <w:b/>
                  <w:sz w:val="28"/>
                  <w:szCs w:val="28"/>
                </w:rPr>
                <w:t>3 км/ч</w:t>
              </w:r>
            </w:smartTag>
            <w:r w:rsidRPr="006B666A">
              <w:rPr>
                <w:rFonts w:cs="Times New Roman"/>
                <w:b/>
                <w:sz w:val="28"/>
                <w:szCs w:val="28"/>
              </w:rPr>
              <w:t xml:space="preserve"> - при подходе локомотива (с вагонами или без них) к вагонам, а на  путях необщего пользования при проследовании вагонами вперед негабаритных мест и опасных зон и при постановке вагонов на вагоноопрокидыватель.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Скорость передвижения  подвижного состава по вагонным весам в зависимости от конструкции весов устанавливается в техническо-распорядительном акте станции или инструкции по обслуживанию и организации движения на  пути необщего пользования, утверждаемой владельцем  путей необщего пользования.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Скорость роспуска вагонов на сортировочных горках при различных сигналах горочных светофоров, а также условия, обеспечивающие безопасность движения и сохранность подвижного состава, устанавливаются, соответственно, владельцем инфраструктуры, владельцем  путей необщего пользования в зависимости от технического оснащения горок и местных условий.</w:t>
            </w:r>
          </w:p>
          <w:p w:rsidR="001C6714" w:rsidRPr="006B666A" w:rsidRDefault="001C6714" w:rsidP="005D6B48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 xml:space="preserve">Маневры толчками и роспуск с сортировочных горок вагонов с грузами отдельных категорий, указанных в правилах перевозок грузов, рефрижераторных вагонов и секций должны производиться с особой осторожностью 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1C6714" w:rsidRPr="00430EA0" w:rsidTr="001C6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lastRenderedPageBreak/>
              <w:t>28</w:t>
            </w:r>
            <w:r w:rsidRPr="006B666A">
              <w:rPr>
                <w:rFonts w:cs="Times New Roman"/>
                <w:sz w:val="28"/>
                <w:szCs w:val="28"/>
              </w:rPr>
              <w:t xml:space="preserve">. </w:t>
            </w:r>
            <w:r w:rsidRPr="001C6714">
              <w:rPr>
                <w:rFonts w:cs="Times New Roman"/>
                <w:b/>
                <w:sz w:val="28"/>
                <w:szCs w:val="28"/>
                <w:u w:val="single"/>
              </w:rPr>
              <w:t>Маневры на главных  путях или с пересечением их,</w:t>
            </w:r>
            <w:r w:rsidRPr="00600B2D">
              <w:rPr>
                <w:rFonts w:cs="Times New Roman"/>
                <w:b/>
                <w:sz w:val="28"/>
                <w:szCs w:val="28"/>
              </w:rPr>
              <w:t xml:space="preserve"> а также с выходом за входные стрелки могут допускаться в каждом случае только с разрешения дежурного по станции при закрытых соответствующих входных светофорах, ограждающих вход на  пути и стрелки, на которых производятся маневры.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Не допускаются маневры с выходом состава за границу станции на перегон на однопутных и по неправильному  пути на двухпутных участках без согласия диспетчера поездного и дежурного по станции соседней станции и без установленного разрешения, выдаваемого машинисту. Маневры с выходом состава за границу станции по правильному  пути на двухпутных участках допускаются с согласия диспетчера поездного по устному разрешению дежурного по станции.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На  станциях, где на мачте входного светофора в сторону оси станции имеется специальный маневровый светофор, выход маневрирующего состава за границу станции производится по его сигналу.</w:t>
            </w:r>
          </w:p>
        </w:tc>
      </w:tr>
      <w:tr w:rsidR="001C6714" w:rsidRPr="00430EA0" w:rsidTr="001C6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29.</w:t>
            </w:r>
            <w:r w:rsidRPr="006B666A">
              <w:rPr>
                <w:rFonts w:cs="Times New Roman"/>
                <w:sz w:val="28"/>
                <w:szCs w:val="28"/>
              </w:rPr>
              <w:t xml:space="preserve"> </w:t>
            </w:r>
            <w:r w:rsidRPr="001C6714">
              <w:rPr>
                <w:rFonts w:cs="Times New Roman"/>
                <w:b/>
                <w:sz w:val="28"/>
                <w:szCs w:val="28"/>
                <w:u w:val="single"/>
              </w:rPr>
              <w:t>Маневры на станционных путях, расположенных на уклонах</w:t>
            </w:r>
            <w:r w:rsidRPr="006B666A">
              <w:rPr>
                <w:rFonts w:cs="Times New Roman"/>
                <w:b/>
                <w:sz w:val="28"/>
                <w:szCs w:val="28"/>
              </w:rPr>
              <w:t>, где создается опасность ухода  подвижного состава на перегон и маршруты следования поездов, производятся с постановкой локомотива со стороны спуска с включением и опробованием автотормозов вагонов. При невозможности постановки локомотива со стороны спуска, маневры на таких путях должны производиться путем осаживания, а автотормоза вагонов должны быть включены и опробованы.</w:t>
            </w:r>
            <w:r w:rsidRPr="006B666A">
              <w:rPr>
                <w:rFonts w:cs="Times New Roman"/>
                <w:sz w:val="28"/>
                <w:szCs w:val="28"/>
              </w:rPr>
              <w:t xml:space="preserve"> Порядок производства маневров, обеспечивающий безопасность движения на  станциях, имеющих такие  пути, установлен в приложении № 11 к Инструкции по движению поездов и маневровой работе на железнодорожном транспорте Российской Федерации и указывается в техническо-</w:t>
            </w:r>
            <w:bookmarkStart w:id="0" w:name="_GoBack"/>
            <w:bookmarkEnd w:id="0"/>
            <w:r w:rsidRPr="006B666A">
              <w:rPr>
                <w:rFonts w:cs="Times New Roman"/>
                <w:sz w:val="28"/>
                <w:szCs w:val="28"/>
              </w:rPr>
              <w:t xml:space="preserve">распорядительном акте станции или в инструкции по обслуживанию и организации </w:t>
            </w:r>
            <w:r w:rsidRPr="006B666A">
              <w:rPr>
                <w:rFonts w:cs="Times New Roman"/>
                <w:sz w:val="28"/>
                <w:szCs w:val="28"/>
              </w:rPr>
              <w:lastRenderedPageBreak/>
              <w:t>движения на  пути необщего пользования.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30.</w:t>
            </w:r>
            <w:r w:rsidRPr="006B666A">
              <w:rPr>
                <w:rFonts w:cs="Times New Roman"/>
                <w:sz w:val="28"/>
                <w:szCs w:val="28"/>
              </w:rPr>
              <w:t xml:space="preserve"> На  станциях, имеющих горочные устройства для сортировки вагонов, маневры должны производиться в порядке, утвержденном, соответственно, владельцем инфраструктуры, владельцем  путей необщего пользования.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Не допускается производить маневры толчками и распускать с горки: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вагоны, занятые людьми, кроме вагонов с проводниками (командами), сопровождающими грузы;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вагоны с грузами отдельных категорий, указанных в правилах перевозок грузов на железнодорожном транспорте;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платформы и полувагоны, загруженные грузами боковой и нижней негабаритности 4-й, 5-й, 6-й степеней и грузами с верхней негабаритностью 3-й степени, груженые транспортеры;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локомотивы в недействующем состоянии, МВПС, составы рефрижераторных поездов, пассажирские вагоны, краны на железнодорожном ходу;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вагоны и специальный подвижной состав, имеющие трафарет "С горки не спускать";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 xml:space="preserve">сцепы из двух платформ, загруженных рельсами длиной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6B666A">
                <w:rPr>
                  <w:rFonts w:cs="Times New Roman"/>
                  <w:sz w:val="28"/>
                  <w:szCs w:val="28"/>
                </w:rPr>
                <w:t>25 м</w:t>
              </w:r>
            </w:smartTag>
            <w:r w:rsidRPr="006B666A">
              <w:rPr>
                <w:rFonts w:cs="Times New Roman"/>
                <w:sz w:val="28"/>
                <w:szCs w:val="28"/>
              </w:rPr>
              <w:t xml:space="preserve"> и другими длинномерными грузами.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Указанный  подвижной состав может быть пропущен через сортировочную горку только с маневровым локомотивом.</w:t>
            </w:r>
          </w:p>
          <w:p w:rsidR="001C6714" w:rsidRPr="006B666A" w:rsidRDefault="001C6714" w:rsidP="00600B2D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На  путях необщего пользования для передвижения вагонов у фронтов погрузки-выгрузки могут использоваться специальные маневровые средства (толкатели, дистанционно управляемые локомотивы, маневровые тележки, электролебедки), которые должны соответствовать требованиям по обеспечению безопасности движения, сохранности  подвижного состава и безопасности работников, связанных с маневровой работой и производством погрузочно-выгрузочных работ.</w:t>
            </w:r>
          </w:p>
        </w:tc>
      </w:tr>
      <w:tr w:rsidR="001C6714" w:rsidRPr="00430EA0" w:rsidTr="001C6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lastRenderedPageBreak/>
              <w:t xml:space="preserve">57. </w:t>
            </w:r>
            <w:r w:rsidRPr="006B666A">
              <w:rPr>
                <w:rFonts w:cs="Times New Roman"/>
                <w:b/>
                <w:sz w:val="28"/>
                <w:szCs w:val="28"/>
              </w:rPr>
              <w:t>Не допускаются маневры с выходом состава за границу станции на перегон на однопутных и по неправильному пути на двухпутных участках без согласия ДНЦ и ДСП соседней станции и без установленного разрешения, выдаваемого машинисту.</w:t>
            </w:r>
            <w:r w:rsidRPr="006B666A">
              <w:rPr>
                <w:rFonts w:cs="Times New Roman"/>
                <w:sz w:val="28"/>
                <w:szCs w:val="28"/>
              </w:rPr>
              <w:t xml:space="preserve"> Маневры с выходом состава за границу станции по правильному пути на двухпутных участках допускаются с согласия ДНЦ по устному разрешению ДСП станции.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Разрешением на выезд маневрирующего состава за границу станции на однопутном перегоне служит: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 xml:space="preserve">1) при автоблокировке – ключ-жезл, выдаваемый машинисту маневрового локомотива перед открытием соответствующего выходного светофора. После первого выезда маневрового состава за границу станции по открытому выходному светофору и ключу-жезлу повторные выезды на перегон при наличии у машиниста ключа-жезла осуществляются без открытия выходного светофора. На участках, оборудованных автоблокировкой, где на  станциях имеются специальные маневровые светофоры, связанные с путевыми светофорами, выезд маневрирующего состава за границу станции производится при разрешающем показании этого маневрового светофора. При отсутствии ключа-жезла или специального маневрового светофора для </w:t>
            </w:r>
            <w:r w:rsidRPr="006B666A">
              <w:rPr>
                <w:rFonts w:cs="Times New Roman"/>
                <w:b/>
                <w:sz w:val="28"/>
                <w:szCs w:val="28"/>
              </w:rPr>
              <w:lastRenderedPageBreak/>
              <w:t>маневров с выездом за границу станции машинисту маневрового локомотива выдается Путевая записка;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2) при ПАБ – ключ-жезл данного перегона, а при его отсутствии – Путевая записка;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3) при электрожезловой системе – жезл или ключ-жезл данного перегона;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b/>
                <w:sz w:val="28"/>
                <w:szCs w:val="28"/>
              </w:rPr>
              <w:t>4) при телефонных средствах связи – Путевая записка.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58. Во всех случаях выезд маневрового состава за границу станции на однопутный перегон с выдачей машинисту Путевой записки может осуществляться только по разрешению ДНЦ, передаваемому одновременно ДСП станций, ограничивающих перегон, без закрытия основных средств сигнализации и связи при движении поездов.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После получения такого разрешения ДСП станций обмениваются телефонограммами: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«Могу ли производить маневры с выездом за границу станции»;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«Разрешаю производство маневров с выездом за границу станции».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Получение последней телефонограммы служит основанием для выдачи машинисту Путевой записки, наверху которой от руки делается отметка «маневры с выездом за границу станции».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Обмен указанными телефонограммами осуществляется по поездной диспетчерской связи, под контролем ДНЦ.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Запрещается делать запрос и давать разрешение о выезде маневрового состава за границу станции при занятости перегона встречным поездом.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При даче согласия в момент следования по перегону поезда, отправленного с станции производства маневров, перегон считается занятым до получения с соседней станции сообщения о прибытии поезда и передаче на эту станцию уведомления об окончании маневров: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«Маневры с выездом маневрового состава за границу станции закончены».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>Все переговоры о выезде маневрового состава за границу станции оформляются записями в журнале поездных телефонограмм.</w:t>
            </w:r>
          </w:p>
          <w:p w:rsidR="001C6714" w:rsidRPr="005D6B48" w:rsidRDefault="001C6714" w:rsidP="005D6B48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B666A">
              <w:rPr>
                <w:rFonts w:cs="Times New Roman"/>
                <w:sz w:val="28"/>
                <w:szCs w:val="28"/>
              </w:rPr>
              <w:t xml:space="preserve">59. </w:t>
            </w:r>
            <w:r w:rsidRPr="005D6B48">
              <w:rPr>
                <w:rFonts w:cs="Times New Roman"/>
                <w:b/>
                <w:sz w:val="28"/>
                <w:szCs w:val="28"/>
              </w:rPr>
              <w:t>При необходимости выезда маневрового состава за границу станции по неправильному пути двухпутного или одному из  путей многопутного перегона, не оборудованного двусторонней путевой блокировкой, действие блокировки по этому пути перегона в установленном порядке закрывается. После закрытия блокировки выезд маневрового состава за границу станции осуществляется с выдачей машинисту локомотива Путевой записки, что оформляется в порядке, предусмотренном в пункте 57 настоящего приложения, при этом в отметке, производимой наверху бланка Путевой записки, добавляются слова «по неправильному пути».</w:t>
            </w:r>
          </w:p>
          <w:p w:rsidR="001C6714" w:rsidRPr="006B666A" w:rsidRDefault="001C6714" w:rsidP="005D6B4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5D6B48">
              <w:rPr>
                <w:rFonts w:cs="Times New Roman"/>
                <w:b/>
                <w:sz w:val="28"/>
                <w:szCs w:val="28"/>
              </w:rPr>
              <w:t>При двусторонней автоблокировке после переключения блок-системы на соответствующее направление движения выезд маневрового состава за границу станции по неправильному пути может производиться по правилам, предусмотренным для однопутных перегонов.</w:t>
            </w:r>
          </w:p>
        </w:tc>
      </w:tr>
    </w:tbl>
    <w:p w:rsidR="002B69CF" w:rsidRPr="00D91D18" w:rsidRDefault="002B69CF" w:rsidP="00BA527F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  <w:rPr>
          <w:sz w:val="16"/>
          <w:szCs w:val="16"/>
        </w:rPr>
      </w:pPr>
    </w:p>
    <w:sectPr w:rsidR="002B69CF" w:rsidRPr="00D91D18" w:rsidSect="004E76F9">
      <w:pgSz w:w="11906" w:h="16838"/>
      <w:pgMar w:top="284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E3D" w:rsidRDefault="00285E3D" w:rsidP="00E81ACC">
      <w:r>
        <w:separator/>
      </w:r>
    </w:p>
  </w:endnote>
  <w:endnote w:type="continuationSeparator" w:id="0">
    <w:p w:rsidR="00285E3D" w:rsidRDefault="00285E3D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E3D" w:rsidRDefault="00285E3D" w:rsidP="00E81ACC">
      <w:r>
        <w:separator/>
      </w:r>
    </w:p>
  </w:footnote>
  <w:footnote w:type="continuationSeparator" w:id="0">
    <w:p w:rsidR="00285E3D" w:rsidRDefault="00285E3D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517AB9"/>
    <w:multiLevelType w:val="hybridMultilevel"/>
    <w:tmpl w:val="737A9CA2"/>
    <w:lvl w:ilvl="0" w:tplc="BA24A5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E272B"/>
    <w:multiLevelType w:val="hybridMultilevel"/>
    <w:tmpl w:val="85C6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96CA3"/>
    <w:multiLevelType w:val="hybridMultilevel"/>
    <w:tmpl w:val="85C6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67DCF"/>
    <w:multiLevelType w:val="hybridMultilevel"/>
    <w:tmpl w:val="85C6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22A36"/>
    <w:multiLevelType w:val="hybridMultilevel"/>
    <w:tmpl w:val="85C6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18"/>
  </w:num>
  <w:num w:numId="12">
    <w:abstractNumId w:val="14"/>
  </w:num>
  <w:num w:numId="13">
    <w:abstractNumId w:val="8"/>
  </w:num>
  <w:num w:numId="14">
    <w:abstractNumId w:val="17"/>
  </w:num>
  <w:num w:numId="15">
    <w:abstractNumId w:val="6"/>
  </w:num>
  <w:num w:numId="16">
    <w:abstractNumId w:val="1"/>
  </w:num>
  <w:num w:numId="17">
    <w:abstractNumId w:val="13"/>
  </w:num>
  <w:num w:numId="18">
    <w:abstractNumId w:val="4"/>
  </w:num>
  <w:num w:numId="19">
    <w:abstractNumId w:val="5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376B6"/>
    <w:rsid w:val="00041986"/>
    <w:rsid w:val="00042C81"/>
    <w:rsid w:val="00043F16"/>
    <w:rsid w:val="000626CD"/>
    <w:rsid w:val="000709F0"/>
    <w:rsid w:val="00072894"/>
    <w:rsid w:val="000C0ED8"/>
    <w:rsid w:val="000D3FAD"/>
    <w:rsid w:val="000D52C6"/>
    <w:rsid w:val="000F35AD"/>
    <w:rsid w:val="000F6421"/>
    <w:rsid w:val="00101C9D"/>
    <w:rsid w:val="00104FF2"/>
    <w:rsid w:val="00141BF1"/>
    <w:rsid w:val="00156E2A"/>
    <w:rsid w:val="00163D23"/>
    <w:rsid w:val="00191B12"/>
    <w:rsid w:val="001C01BB"/>
    <w:rsid w:val="001C6714"/>
    <w:rsid w:val="001F3897"/>
    <w:rsid w:val="002526BE"/>
    <w:rsid w:val="00266D0C"/>
    <w:rsid w:val="00277708"/>
    <w:rsid w:val="00285E3D"/>
    <w:rsid w:val="002960D4"/>
    <w:rsid w:val="002B69CF"/>
    <w:rsid w:val="002C3B35"/>
    <w:rsid w:val="002D1D4F"/>
    <w:rsid w:val="002E65E0"/>
    <w:rsid w:val="002F0BE8"/>
    <w:rsid w:val="003146AF"/>
    <w:rsid w:val="003156FB"/>
    <w:rsid w:val="003254F5"/>
    <w:rsid w:val="00343003"/>
    <w:rsid w:val="00346BA1"/>
    <w:rsid w:val="0037089B"/>
    <w:rsid w:val="00372646"/>
    <w:rsid w:val="00381DDA"/>
    <w:rsid w:val="0039413D"/>
    <w:rsid w:val="00397DED"/>
    <w:rsid w:val="003E58C6"/>
    <w:rsid w:val="00416D44"/>
    <w:rsid w:val="004172B2"/>
    <w:rsid w:val="0042345D"/>
    <w:rsid w:val="00430EA0"/>
    <w:rsid w:val="00432C43"/>
    <w:rsid w:val="00466970"/>
    <w:rsid w:val="00471996"/>
    <w:rsid w:val="0047712F"/>
    <w:rsid w:val="004A2453"/>
    <w:rsid w:val="004B34A4"/>
    <w:rsid w:val="004B646E"/>
    <w:rsid w:val="004C409C"/>
    <w:rsid w:val="004D7732"/>
    <w:rsid w:val="004E5292"/>
    <w:rsid w:val="004E76F9"/>
    <w:rsid w:val="0051214A"/>
    <w:rsid w:val="00556A26"/>
    <w:rsid w:val="0056560D"/>
    <w:rsid w:val="00593F8F"/>
    <w:rsid w:val="005961D3"/>
    <w:rsid w:val="005C65B6"/>
    <w:rsid w:val="005D4ABC"/>
    <w:rsid w:val="005D5322"/>
    <w:rsid w:val="005D6B48"/>
    <w:rsid w:val="005D70E0"/>
    <w:rsid w:val="005F1EF9"/>
    <w:rsid w:val="00600B2D"/>
    <w:rsid w:val="00605260"/>
    <w:rsid w:val="00605CD2"/>
    <w:rsid w:val="00645FBD"/>
    <w:rsid w:val="0065178E"/>
    <w:rsid w:val="006618CB"/>
    <w:rsid w:val="00662D23"/>
    <w:rsid w:val="00672887"/>
    <w:rsid w:val="006A413B"/>
    <w:rsid w:val="006C4129"/>
    <w:rsid w:val="006E6E2B"/>
    <w:rsid w:val="00714841"/>
    <w:rsid w:val="00734426"/>
    <w:rsid w:val="0077068F"/>
    <w:rsid w:val="00785959"/>
    <w:rsid w:val="007D425C"/>
    <w:rsid w:val="007F5F41"/>
    <w:rsid w:val="007F6E34"/>
    <w:rsid w:val="0081567E"/>
    <w:rsid w:val="008729CF"/>
    <w:rsid w:val="00875DDB"/>
    <w:rsid w:val="008D3DD1"/>
    <w:rsid w:val="008F4A4D"/>
    <w:rsid w:val="0090089E"/>
    <w:rsid w:val="00911440"/>
    <w:rsid w:val="00953DBF"/>
    <w:rsid w:val="0095748E"/>
    <w:rsid w:val="009715D5"/>
    <w:rsid w:val="009717AA"/>
    <w:rsid w:val="00986E52"/>
    <w:rsid w:val="009D1221"/>
    <w:rsid w:val="009E7902"/>
    <w:rsid w:val="00A03051"/>
    <w:rsid w:val="00A1601D"/>
    <w:rsid w:val="00A17261"/>
    <w:rsid w:val="00A63F1B"/>
    <w:rsid w:val="00A77A94"/>
    <w:rsid w:val="00AA4564"/>
    <w:rsid w:val="00AA49E3"/>
    <w:rsid w:val="00AB4D57"/>
    <w:rsid w:val="00AC0A61"/>
    <w:rsid w:val="00B10F67"/>
    <w:rsid w:val="00B26C32"/>
    <w:rsid w:val="00B621D9"/>
    <w:rsid w:val="00B726D5"/>
    <w:rsid w:val="00B951BC"/>
    <w:rsid w:val="00BA1D5F"/>
    <w:rsid w:val="00BA527F"/>
    <w:rsid w:val="00BC41BC"/>
    <w:rsid w:val="00C10420"/>
    <w:rsid w:val="00C16B34"/>
    <w:rsid w:val="00C351C8"/>
    <w:rsid w:val="00C5483F"/>
    <w:rsid w:val="00C57A98"/>
    <w:rsid w:val="00C64E66"/>
    <w:rsid w:val="00C83BA8"/>
    <w:rsid w:val="00CD5421"/>
    <w:rsid w:val="00CF0A05"/>
    <w:rsid w:val="00D12927"/>
    <w:rsid w:val="00D2530C"/>
    <w:rsid w:val="00D715BE"/>
    <w:rsid w:val="00D810C4"/>
    <w:rsid w:val="00D8736A"/>
    <w:rsid w:val="00D91D18"/>
    <w:rsid w:val="00DD55BB"/>
    <w:rsid w:val="00DD7283"/>
    <w:rsid w:val="00E15E33"/>
    <w:rsid w:val="00E2773F"/>
    <w:rsid w:val="00E433F6"/>
    <w:rsid w:val="00E53754"/>
    <w:rsid w:val="00E81ACC"/>
    <w:rsid w:val="00E84036"/>
    <w:rsid w:val="00E8767A"/>
    <w:rsid w:val="00EB18DB"/>
    <w:rsid w:val="00EB3C78"/>
    <w:rsid w:val="00EB413E"/>
    <w:rsid w:val="00EC2E5B"/>
    <w:rsid w:val="00EE0270"/>
    <w:rsid w:val="00F265E9"/>
    <w:rsid w:val="00F41A41"/>
    <w:rsid w:val="00F6035C"/>
    <w:rsid w:val="00F665A1"/>
    <w:rsid w:val="00F7600D"/>
    <w:rsid w:val="00F77FC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A229A5-7BA4-4945-9D7C-A8B11DCF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600B2D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600B2D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36</cp:revision>
  <cp:lastPrinted>2018-07-06T04:13:00Z</cp:lastPrinted>
  <dcterms:created xsi:type="dcterms:W3CDTF">2018-08-08T13:46:00Z</dcterms:created>
  <dcterms:modified xsi:type="dcterms:W3CDTF">2022-05-04T08:20:00Z</dcterms:modified>
</cp:coreProperties>
</file>