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eastAsia="ru-RU"/>
        </w:rPr>
        <w:t>Тема: «Невозможность перевода стрелки с пульта-управления»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Проверить, не является ли невозможность перевода стрелки следствием: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ухода вагонов, самопроизвольного выезда подвижных единиц, взреза стрелки, схода подвижного состава, замыкания стрелки в маршруте или кнопкой замыкания стрелок (директивы замыкания стрелки в системах МПЦ, ЭЦ ЕМ);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неправильных действий ДСП или действий других работников.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ложной занятости изолированного участка, в который входит стрелка.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Оформить запись в журнале формы ДУ-46 о невозможности перевода стрелки и сообщить ДНЦ, ШН, ШЧИ, ПЧД, ДС.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Получить разрешение поездного диспетчера на срыв пломбы с курбеля, оформить запись в журнал формы ДУ-46 о срыве пломбы и изъятии курбеля для перевода стрелки и опускания </w:t>
      </w:r>
      <w:proofErr w:type="spellStart"/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курбельной</w:t>
      </w:r>
      <w:proofErr w:type="spellEnd"/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заслонки в электроприводе. Взять замок и ключи для запирания стрелки (2 для спаренных стрелок).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ожидая прибытия электромеханика проверить, не попало ли что-либо между остряком и рамным рельсом, при выявлении - устранить, сделать запись о причине нарушения в последней графе журнала формы ДУ-46 и возобновить пользование устройствами.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Проверить на месте (лично или другим работникам, установленным ТРА станции) исправность стрелочного перевода и правильность установки стрелки в соответствующем маршруте.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Выключить блок-контакт электропривода, при необходимости перевести стрелочный перевод курбелем в требуемое положение. Запереть на закладку и навесной замок. Ключ от запертой стрелки хранится у ДСП или другого работника, установленного ТРА станции.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получения контроля положения стрелки после перевода её курбелем необходимо выполнить на пульте операции, соответствующие переводу стрелки: повернуть стрелочную рукоятку (нажать кнопку соответствующего положения, использовать директиву перевода стрелки в системах МПЦ, ЭЦ ЭМ). Если изолированный участок, в который входит стрелка, показывает ложную занятость, необходимо дополнительно нажать кнопку вспомогательного перевода стрелки, выполнив для этого дополнительные действия согласно пункта № 12.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 маршрутам, в которые стрелка входит, в положении, которое контролируется на пульте управления, поезда могут пропускаться при разрешающих показаниях соответствующих светофоров.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 отсутствии контроля положения стрелки на пульте управления - принять (отправить) поезд при запрещающем показании светофора, выполнив для этого дополнительные действия, указанные соответственно в пунктах № 1, 1.1, 2 или 13.</w:t>
      </w: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По прибытии электромеханик СЦБ обязан устранить неисправность, а при невозможности - выключить стрелку с сохранением или без сохранения пользования сигналами в соответствии с требованиями инструкции ЦШ-530.</w:t>
      </w:r>
    </w:p>
    <w:p w:rsid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После оформления записи ШН (ПД) в графе 12 журнала формы ДУ-46 о причине неисправности, устранении, проверки устройств СЦБ, информацию о причине нарушения нормальной работы устройств СЦБ и её устранении передать ДНЦ.</w:t>
      </w:r>
    </w:p>
    <w:p w:rsid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118" w:rsidRPr="00393118" w:rsidRDefault="00393118" w:rsidP="0039311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C61" w:rsidRDefault="00127C61">
      <w:bookmarkStart w:id="0" w:name="_GoBack"/>
      <w:bookmarkEnd w:id="0"/>
    </w:p>
    <w:sectPr w:rsidR="00127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18"/>
    <w:rsid w:val="00127C61"/>
    <w:rsid w:val="0039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C1087-6600-49DC-9065-1A6450CD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430</Words>
  <Characters>2455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2024-03-10T13:57:00Z</dcterms:created>
  <dcterms:modified xsi:type="dcterms:W3CDTF">2024-03-10T14:09:00Z</dcterms:modified>
</cp:coreProperties>
</file>